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E0FE6" w14:textId="231FAC04" w:rsidR="00E14135" w:rsidRPr="00746F54" w:rsidRDefault="00E14135" w:rsidP="00E14135">
      <w:pPr>
        <w:jc w:val="center"/>
        <w:rPr>
          <w:rFonts w:ascii="Arial" w:hAnsi="Arial" w:cs="Arial"/>
        </w:rPr>
      </w:pPr>
      <w:r w:rsidRPr="00746F54">
        <w:rPr>
          <w:rFonts w:ascii="Arial" w:hAnsi="Arial" w:cs="Arial"/>
          <w:noProof/>
          <w:sz w:val="20"/>
        </w:rPr>
        <mc:AlternateContent>
          <mc:Choice Requires="wps">
            <w:drawing>
              <wp:anchor distT="0" distB="0" distL="114300" distR="114300" simplePos="0" relativeHeight="251658240" behindDoc="0" locked="0" layoutInCell="1" allowOverlap="1" wp14:anchorId="036C543B" wp14:editId="6DE80DC8">
                <wp:simplePos x="0" y="0"/>
                <wp:positionH relativeFrom="column">
                  <wp:posOffset>-1143000</wp:posOffset>
                </wp:positionH>
                <wp:positionV relativeFrom="paragraph">
                  <wp:posOffset>228600</wp:posOffset>
                </wp:positionV>
                <wp:extent cx="9144000" cy="114300"/>
                <wp:effectExtent l="0" t="1905" r="0" b="0"/>
                <wp:wrapNone/>
                <wp:docPr id="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114300"/>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F2E569" id="Rectangle 48" o:spid="_x0000_s1026" style="position:absolute;margin-left:-90pt;margin-top:18pt;width:10in;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FjHwIAADwEAAAOAAAAZHJzL2Uyb0RvYy54bWysU1Fv0zAQfkfiP1h+p2m6jrGo6TR1KkIa&#10;DGkgnl3HSSwSn7lzm5Zfz9lpuwJvCD9Y9p3vu+++Oy/u9n0ndgbJgitlPplKYZyGyrqmlF+/rN+8&#10;k4KCcpXqwJlSHgzJu+XrV4vBF2YGLXSVQcEgjorBl7INwRdZRro1vaIJeOPYWQP2KvAVm6xCNTB6&#10;32Wz6fRtNgBWHkEbIrY+jE65TPh1bXR4qmsyQXSlZG4h7Zj2Tdyz5UIVDSrfWn2kof6BRa+s46Rn&#10;qAcVlNii/QuqtxqBoA4TDX0GdW21STVwNfn0j2qeW+VNqoXFIX+Wif4frP60e/afMVIn/wj6OwkH&#10;q1a5xtwjwtAaVXG6PAqVDZ6Kc0C8EIeKzfARKm6t2gZIGuxr7CMgVyf2SerDWWqzD0Kz8Tafz6dT&#10;7ohmX57Pr/gcU6jiFO2RwnsDvYiHUiK3MqGr3SOF8enpyVH4am27TiCEbza0SbuYNjmJY8aD8MD1&#10;jGbCZrPqUOwUT8c6rSOJhi5f58yU+UXTbyH51c3t6voihOk3p1SddYJljLkEadWZ6iRjmpJENiJ2&#10;Lu4OIvmxrGhJWkd54yRTsYHqwFJzbQmPPxwfWsCfUgw8vKWkH1uFRorug+Pykro87ekyv76ZMQe8&#10;9GwuPcpphiqlDiiZcryswvhHth5t03KuPFXv4J6bXNuk/wuvI10e0dTB43eKf+Dynl69fPrlLwAA&#10;AP//AwBQSwMEFAAGAAgAAAAhAIUSG/bgAAAACwEAAA8AAABkcnMvZG93bnJldi54bWxMj81qwzAQ&#10;hO+FvoPYQC8lkZI2Jrheh1IoFHIoSXvpbWOtf4glGUuxnbevfGpPy+4Ms99k+8m0YuDeN84irFcK&#10;BNvC6cZWCN9f78sdCB/IamqdZYQbe9jn93cZpdqN9sjDKVQihlifEkIdQpdK6YuaDfmV69hGrXS9&#10;oRDXvpK6pzGGm1ZulEqkocbGDzV1/FZzcTldDcJQyQ/588h6e7i5ko7jUB7qT8SHxfT6AiLwFP7M&#10;MONHdMgj09ldrfaiRViudyqWCQhPSZyzY5PMlzPC9lmBzDP5v0P+CwAA//8DAFBLAQItABQABgAI&#10;AAAAIQC2gziS/gAAAOEBAAATAAAAAAAAAAAAAAAAAAAAAABbQ29udGVudF9UeXBlc10ueG1sUEsB&#10;Ai0AFAAGAAgAAAAhADj9If/WAAAAlAEAAAsAAAAAAAAAAAAAAAAALwEAAF9yZWxzLy5yZWxzUEsB&#10;Ai0AFAAGAAgAAAAhAN0ywWMfAgAAPAQAAA4AAAAAAAAAAAAAAAAALgIAAGRycy9lMm9Eb2MueG1s&#10;UEsBAi0AFAAGAAgAAAAhAIUSG/bgAAAACwEAAA8AAAAAAAAAAAAAAAAAeQQAAGRycy9kb3ducmV2&#10;LnhtbFBLBQYAAAAABAAEAPMAAACGBQAAAAA=&#10;" stroked="f">
                <v:fill color2="#1379c5" angle="90" focus="100%" type="gradient"/>
              </v:rect>
            </w:pict>
          </mc:Fallback>
        </mc:AlternateContent>
      </w:r>
      <w:r w:rsidR="00653F2E" w:rsidRPr="00746F54">
        <w:rPr>
          <w:rFonts w:ascii="Arial" w:hAnsi="Arial" w:cs="Arial"/>
        </w:rPr>
        <w:t xml:space="preserve"> </w:t>
      </w:r>
    </w:p>
    <w:p w14:paraId="5F04B136" w14:textId="77777777" w:rsidR="00E14135" w:rsidRPr="00746F54" w:rsidRDefault="00E14135" w:rsidP="00E14135">
      <w:pPr>
        <w:rPr>
          <w:rFonts w:ascii="Arial" w:hAnsi="Arial" w:cs="Arial"/>
        </w:rPr>
      </w:pPr>
    </w:p>
    <w:p w14:paraId="520F4978" w14:textId="77777777" w:rsidR="00E14135" w:rsidRPr="00746F54" w:rsidRDefault="00E14135" w:rsidP="00E14135">
      <w:pPr>
        <w:pStyle w:val="ParaText"/>
        <w:jc w:val="right"/>
        <w:rPr>
          <w:rFonts w:ascii="Arial" w:hAnsi="Arial" w:cs="Arial"/>
          <w:b/>
          <w:bCs/>
        </w:rPr>
      </w:pPr>
    </w:p>
    <w:p w14:paraId="2F826D2B" w14:textId="77777777" w:rsidR="00E14135" w:rsidRPr="00746F54" w:rsidRDefault="00E14135" w:rsidP="00E14135">
      <w:pPr>
        <w:pStyle w:val="Header"/>
        <w:tabs>
          <w:tab w:val="clear" w:pos="4320"/>
          <w:tab w:val="clear" w:pos="8640"/>
        </w:tabs>
        <w:rPr>
          <w:rFonts w:ascii="Arial" w:hAnsi="Arial" w:cs="Arial"/>
          <w:b w:val="0"/>
          <w:bCs/>
        </w:rPr>
      </w:pPr>
    </w:p>
    <w:p w14:paraId="39A2C5AA" w14:textId="77777777" w:rsidR="00E14135" w:rsidRPr="00746F54" w:rsidRDefault="00E14135" w:rsidP="00E14135">
      <w:pPr>
        <w:pStyle w:val="ParaText"/>
        <w:rPr>
          <w:rFonts w:ascii="Arial" w:hAnsi="Arial" w:cs="Arial"/>
        </w:rPr>
      </w:pPr>
    </w:p>
    <w:p w14:paraId="3485E9B1" w14:textId="77777777" w:rsidR="00E14135" w:rsidRPr="00746F54" w:rsidRDefault="00E14135" w:rsidP="00E14135">
      <w:pPr>
        <w:pStyle w:val="ParaText"/>
        <w:rPr>
          <w:rFonts w:ascii="Arial" w:hAnsi="Arial" w:cs="Arial"/>
        </w:rPr>
      </w:pPr>
    </w:p>
    <w:p w14:paraId="10630A77" w14:textId="77777777" w:rsidR="00E14135" w:rsidRPr="00746F54" w:rsidRDefault="00E14135" w:rsidP="00E14135">
      <w:pPr>
        <w:pStyle w:val="ParaText"/>
        <w:rPr>
          <w:rFonts w:ascii="Arial" w:hAnsi="Arial" w:cs="Arial"/>
        </w:rPr>
      </w:pPr>
    </w:p>
    <w:p w14:paraId="42951E91" w14:textId="77777777" w:rsidR="00E14135" w:rsidRPr="00746F54" w:rsidRDefault="00E14135" w:rsidP="00E14135">
      <w:pPr>
        <w:pStyle w:val="Title"/>
        <w:rPr>
          <w:rFonts w:ascii="Arial" w:hAnsi="Arial" w:cs="Arial"/>
        </w:rPr>
      </w:pPr>
      <w:r w:rsidRPr="00746F54">
        <w:rPr>
          <w:rFonts w:ascii="Arial" w:hAnsi="Arial" w:cs="Arial"/>
        </w:rPr>
        <w:t>Business Practice Manual for</w:t>
      </w:r>
    </w:p>
    <w:p w14:paraId="6DC28860" w14:textId="67DE4397" w:rsidR="00E14135" w:rsidRPr="00746F54" w:rsidRDefault="00E14135" w:rsidP="00E14135">
      <w:pPr>
        <w:pStyle w:val="Title"/>
        <w:rPr>
          <w:rFonts w:ascii="Arial" w:hAnsi="Arial" w:cs="Arial"/>
        </w:rPr>
      </w:pPr>
      <w:r w:rsidRPr="00746F54">
        <w:rPr>
          <w:rFonts w:ascii="Arial" w:hAnsi="Arial" w:cs="Arial"/>
        </w:rPr>
        <w:t>Extended Day</w:t>
      </w:r>
      <w:r w:rsidR="00750440" w:rsidRPr="00746F54">
        <w:rPr>
          <w:rFonts w:ascii="Arial" w:hAnsi="Arial" w:cs="Arial"/>
        </w:rPr>
        <w:t>-</w:t>
      </w:r>
      <w:r w:rsidRPr="00746F54">
        <w:rPr>
          <w:rFonts w:ascii="Arial" w:hAnsi="Arial" w:cs="Arial"/>
        </w:rPr>
        <w:t>Ahead Market</w:t>
      </w:r>
    </w:p>
    <w:p w14:paraId="5AF6B3B3" w14:textId="77777777" w:rsidR="00E14135" w:rsidRPr="00746F54" w:rsidRDefault="00E14135" w:rsidP="00E14135">
      <w:pPr>
        <w:pStyle w:val="ParaText"/>
        <w:rPr>
          <w:rFonts w:ascii="Arial" w:hAnsi="Arial" w:cs="Arial"/>
        </w:rPr>
      </w:pPr>
    </w:p>
    <w:p w14:paraId="4558B85D" w14:textId="77777777" w:rsidR="00E14135" w:rsidRPr="00746F54" w:rsidRDefault="00E14135" w:rsidP="00E14135">
      <w:pPr>
        <w:pStyle w:val="ParaText"/>
        <w:rPr>
          <w:rFonts w:ascii="Arial" w:hAnsi="Arial" w:cs="Arial"/>
        </w:rPr>
      </w:pPr>
    </w:p>
    <w:p w14:paraId="77A5958F" w14:textId="77777777" w:rsidR="00E14135" w:rsidRPr="00746F54" w:rsidRDefault="00E14135" w:rsidP="00E14135">
      <w:pPr>
        <w:pStyle w:val="ParaText"/>
        <w:rPr>
          <w:rFonts w:ascii="Arial" w:hAnsi="Arial" w:cs="Arial"/>
        </w:rPr>
      </w:pPr>
    </w:p>
    <w:p w14:paraId="26677D9F" w14:textId="77777777" w:rsidR="00E14135" w:rsidRPr="00746F54" w:rsidRDefault="00E14135" w:rsidP="00E14135">
      <w:pPr>
        <w:pStyle w:val="ParaText"/>
        <w:rPr>
          <w:rFonts w:ascii="Arial" w:hAnsi="Arial" w:cs="Arial"/>
        </w:rPr>
      </w:pPr>
    </w:p>
    <w:p w14:paraId="6B4AFB2D" w14:textId="77777777" w:rsidR="00E14135" w:rsidRPr="00746F54" w:rsidRDefault="00E14135" w:rsidP="00E14135">
      <w:pPr>
        <w:pStyle w:val="ParaText"/>
        <w:jc w:val="center"/>
        <w:rPr>
          <w:rFonts w:ascii="Arial" w:hAnsi="Arial" w:cs="Arial"/>
        </w:rPr>
      </w:pPr>
      <w:r w:rsidRPr="00746F54">
        <w:rPr>
          <w:rFonts w:ascii="Arial" w:hAnsi="Arial" w:cs="Arial"/>
        </w:rPr>
        <w:t>Version 1</w:t>
      </w:r>
    </w:p>
    <w:p w14:paraId="3692D2F4" w14:textId="77777777" w:rsidR="00E14135" w:rsidRPr="00746F54" w:rsidRDefault="00E14135" w:rsidP="00E14135">
      <w:pPr>
        <w:pStyle w:val="ParaText"/>
        <w:rPr>
          <w:rFonts w:ascii="Arial" w:hAnsi="Arial" w:cs="Arial"/>
        </w:rPr>
      </w:pPr>
    </w:p>
    <w:p w14:paraId="39B399CE" w14:textId="5CBEFAEF" w:rsidR="00E14135" w:rsidRPr="00746F54" w:rsidRDefault="00E14135" w:rsidP="00E14135">
      <w:pPr>
        <w:pStyle w:val="ParaText"/>
        <w:jc w:val="center"/>
        <w:rPr>
          <w:rFonts w:ascii="Arial" w:hAnsi="Arial" w:cs="Arial"/>
        </w:rPr>
      </w:pPr>
      <w:r w:rsidRPr="00746F54">
        <w:rPr>
          <w:rFonts w:ascii="Arial" w:hAnsi="Arial" w:cs="Arial"/>
        </w:rPr>
        <w:t xml:space="preserve">Revision Date: </w:t>
      </w:r>
      <w:r w:rsidR="00D81D29">
        <w:rPr>
          <w:rFonts w:ascii="Arial" w:hAnsi="Arial" w:cs="Arial"/>
        </w:rPr>
        <w:t>May 1</w:t>
      </w:r>
      <w:r w:rsidR="00681E96">
        <w:rPr>
          <w:rFonts w:ascii="Arial" w:hAnsi="Arial" w:cs="Arial"/>
        </w:rPr>
        <w:t>, 202</w:t>
      </w:r>
      <w:r w:rsidR="002E7413">
        <w:rPr>
          <w:rFonts w:ascii="Arial" w:hAnsi="Arial" w:cs="Arial"/>
        </w:rPr>
        <w:t xml:space="preserve">6 </w:t>
      </w:r>
    </w:p>
    <w:p w14:paraId="3A205265" w14:textId="77777777" w:rsidR="00E14135" w:rsidRPr="00746F54" w:rsidRDefault="00E14135" w:rsidP="00E14135">
      <w:pPr>
        <w:pStyle w:val="ParaText"/>
        <w:rPr>
          <w:rFonts w:ascii="Arial" w:hAnsi="Arial" w:cs="Arial"/>
        </w:rPr>
      </w:pPr>
    </w:p>
    <w:p w14:paraId="0505CF60" w14:textId="77777777" w:rsidR="00E14135" w:rsidRPr="00746F54" w:rsidRDefault="00E14135" w:rsidP="00E14135">
      <w:pPr>
        <w:pStyle w:val="ParaText"/>
        <w:rPr>
          <w:rFonts w:ascii="Arial" w:hAnsi="Arial" w:cs="Arial"/>
        </w:rPr>
      </w:pPr>
    </w:p>
    <w:p w14:paraId="4AF151D1" w14:textId="77777777" w:rsidR="00E14135" w:rsidRPr="00746F54" w:rsidRDefault="00E14135" w:rsidP="00E14135">
      <w:pPr>
        <w:pStyle w:val="Header"/>
        <w:jc w:val="center"/>
        <w:rPr>
          <w:rFonts w:ascii="Arial" w:hAnsi="Arial" w:cs="Arial"/>
          <w:b w:val="0"/>
          <w:bCs/>
          <w:sz w:val="20"/>
        </w:rPr>
      </w:pPr>
    </w:p>
    <w:p w14:paraId="26DCA4C1" w14:textId="77777777" w:rsidR="00E14135" w:rsidRPr="00746F54" w:rsidRDefault="00E14135" w:rsidP="00E14135">
      <w:pPr>
        <w:pStyle w:val="ParaText"/>
        <w:rPr>
          <w:rFonts w:ascii="Arial" w:hAnsi="Arial" w:cs="Arial"/>
        </w:rPr>
      </w:pPr>
    </w:p>
    <w:p w14:paraId="7813B745" w14:textId="77777777" w:rsidR="00E14135" w:rsidRPr="00746F54" w:rsidRDefault="00E14135" w:rsidP="00E14135">
      <w:pPr>
        <w:rPr>
          <w:rFonts w:ascii="Arial" w:hAnsi="Arial" w:cs="Arial"/>
        </w:rPr>
        <w:sectPr w:rsidR="00E14135" w:rsidRPr="00746F54" w:rsidSect="00E14135">
          <w:headerReference w:type="default" r:id="rId11"/>
          <w:footerReference w:type="even" r:id="rId12"/>
          <w:footerReference w:type="default" r:id="rId13"/>
          <w:headerReference w:type="first" r:id="rId14"/>
          <w:footerReference w:type="first" r:id="rId15"/>
          <w:pgSz w:w="12240" w:h="15840"/>
          <w:pgMar w:top="1728" w:right="1440" w:bottom="1728" w:left="1440" w:header="720" w:footer="720" w:gutter="0"/>
          <w:pgNumType w:fmt="lowerRoman" w:start="1"/>
          <w:cols w:space="720"/>
          <w:titlePg/>
          <w:docGrid w:linePitch="299"/>
        </w:sectPr>
      </w:pPr>
    </w:p>
    <w:p w14:paraId="276ACB14" w14:textId="77777777" w:rsidR="00E14135" w:rsidRPr="00746F54" w:rsidRDefault="00E14135" w:rsidP="00E14135">
      <w:pPr>
        <w:rPr>
          <w:rFonts w:ascii="Arial" w:hAnsi="Arial" w:cs="Arial"/>
          <w:b/>
          <w:bCs/>
          <w:sz w:val="32"/>
        </w:rPr>
      </w:pPr>
      <w:r w:rsidRPr="00746F54">
        <w:rPr>
          <w:rFonts w:ascii="Arial" w:hAnsi="Arial" w:cs="Arial"/>
          <w:b/>
          <w:bCs/>
          <w:sz w:val="32"/>
        </w:rPr>
        <w:lastRenderedPageBreak/>
        <w:t>Approval History</w:t>
      </w:r>
    </w:p>
    <w:p w14:paraId="46FD7F3A" w14:textId="2E7EE657" w:rsidR="00E14135" w:rsidRPr="00746F54" w:rsidRDefault="00E14135" w:rsidP="00E14135">
      <w:pPr>
        <w:pStyle w:val="ParaText"/>
        <w:ind w:firstLine="720"/>
        <w:rPr>
          <w:rFonts w:ascii="Arial" w:hAnsi="Arial" w:cs="Arial"/>
        </w:rPr>
      </w:pPr>
      <w:r w:rsidRPr="00746F54">
        <w:rPr>
          <w:rFonts w:ascii="Arial" w:hAnsi="Arial" w:cs="Arial"/>
        </w:rPr>
        <w:t>Approval Date:</w:t>
      </w:r>
      <w:r w:rsidR="002E7413">
        <w:rPr>
          <w:rFonts w:ascii="Arial" w:hAnsi="Arial" w:cs="Arial"/>
        </w:rPr>
        <w:t xml:space="preserve"> May 1, 2026 </w:t>
      </w:r>
    </w:p>
    <w:p w14:paraId="0606C06C" w14:textId="6E0F5EB5" w:rsidR="00E14135" w:rsidRPr="00746F54" w:rsidRDefault="00E14135" w:rsidP="00E14135">
      <w:pPr>
        <w:pStyle w:val="ParaText"/>
        <w:ind w:firstLine="720"/>
        <w:rPr>
          <w:rFonts w:ascii="Arial" w:hAnsi="Arial" w:cs="Arial"/>
        </w:rPr>
      </w:pPr>
      <w:r w:rsidRPr="00746F54">
        <w:rPr>
          <w:rFonts w:ascii="Arial" w:hAnsi="Arial" w:cs="Arial"/>
        </w:rPr>
        <w:t>Effective Date:</w:t>
      </w:r>
      <w:r w:rsidR="002E7413">
        <w:rPr>
          <w:rFonts w:ascii="Arial" w:hAnsi="Arial" w:cs="Arial"/>
        </w:rPr>
        <w:t xml:space="preserve"> May 1, 2026</w:t>
      </w:r>
    </w:p>
    <w:p w14:paraId="4C10955F" w14:textId="475571B2" w:rsidR="00E14135" w:rsidRPr="00746F54" w:rsidRDefault="00E14135" w:rsidP="00E14135">
      <w:pPr>
        <w:pStyle w:val="ParaText"/>
        <w:ind w:firstLine="720"/>
        <w:rPr>
          <w:rFonts w:ascii="Arial" w:hAnsi="Arial" w:cs="Arial"/>
        </w:rPr>
      </w:pPr>
      <w:r w:rsidRPr="00746F54">
        <w:rPr>
          <w:rFonts w:ascii="Arial" w:hAnsi="Arial" w:cs="Arial"/>
        </w:rPr>
        <w:t xml:space="preserve">BPM Owner: </w:t>
      </w:r>
      <w:r w:rsidR="0051089D" w:rsidRPr="00746F54">
        <w:rPr>
          <w:rFonts w:ascii="Arial" w:hAnsi="Arial" w:cs="Arial"/>
        </w:rPr>
        <w:t>John Phipps</w:t>
      </w:r>
    </w:p>
    <w:p w14:paraId="333F48CF" w14:textId="7516BA9D" w:rsidR="00E14135" w:rsidRPr="00746F54" w:rsidRDefault="00E14135" w:rsidP="00E14135">
      <w:pPr>
        <w:pStyle w:val="ParaText"/>
        <w:ind w:firstLine="720"/>
        <w:rPr>
          <w:rFonts w:ascii="Arial" w:hAnsi="Arial" w:cs="Arial"/>
        </w:rPr>
      </w:pPr>
      <w:r w:rsidRPr="00746F54">
        <w:rPr>
          <w:rFonts w:ascii="Arial" w:hAnsi="Arial" w:cs="Arial"/>
        </w:rPr>
        <w:t xml:space="preserve">BPM Owner’s Title: </w:t>
      </w:r>
      <w:r w:rsidR="0051089D" w:rsidRPr="00746F54">
        <w:rPr>
          <w:rFonts w:ascii="Arial" w:hAnsi="Arial" w:cs="Arial"/>
        </w:rPr>
        <w:t xml:space="preserve">Executive Director, Grid Operations </w:t>
      </w:r>
    </w:p>
    <w:p w14:paraId="1DD90B3D" w14:textId="77777777" w:rsidR="00E14135" w:rsidRPr="00746F54" w:rsidRDefault="00E14135" w:rsidP="00E14135">
      <w:pPr>
        <w:rPr>
          <w:rFonts w:ascii="Arial" w:hAnsi="Arial" w:cs="Arial"/>
          <w:b/>
          <w:bCs/>
          <w:sz w:val="32"/>
        </w:rPr>
      </w:pPr>
      <w:r w:rsidRPr="00746F54">
        <w:rPr>
          <w:rFonts w:ascii="Arial" w:hAnsi="Arial" w:cs="Arial"/>
          <w:b/>
          <w:bCs/>
          <w:sz w:val="32"/>
        </w:rPr>
        <w:t>Revision History</w:t>
      </w:r>
    </w:p>
    <w:p w14:paraId="2A90D510" w14:textId="77777777" w:rsidR="00E14135" w:rsidRPr="00746F54" w:rsidRDefault="00E14135" w:rsidP="00E14135">
      <w:pPr>
        <w:pStyle w:val="ParaText"/>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00"/>
        <w:gridCol w:w="1170"/>
        <w:gridCol w:w="1440"/>
        <w:gridCol w:w="5220"/>
      </w:tblGrid>
      <w:tr w:rsidR="00E14135" w:rsidRPr="00746F54" w14:paraId="3E9E14D0" w14:textId="77777777" w:rsidTr="009003C0">
        <w:trPr>
          <w:tblHeader/>
        </w:trPr>
        <w:tc>
          <w:tcPr>
            <w:tcW w:w="1170" w:type="dxa"/>
            <w:shd w:val="clear" w:color="auto" w:fill="0000BE"/>
            <w:vAlign w:val="center"/>
          </w:tcPr>
          <w:p w14:paraId="114A9F9B" w14:textId="77777777" w:rsidR="00E14135" w:rsidRPr="00746F54" w:rsidRDefault="00E14135" w:rsidP="009003C0">
            <w:pPr>
              <w:spacing w:before="60" w:after="60"/>
              <w:jc w:val="center"/>
              <w:rPr>
                <w:rFonts w:ascii="Arial" w:hAnsi="Arial" w:cs="Arial"/>
                <w:color w:val="FFFFFF"/>
                <w:sz w:val="28"/>
              </w:rPr>
            </w:pPr>
            <w:r w:rsidRPr="00746F54">
              <w:rPr>
                <w:rFonts w:ascii="Arial" w:hAnsi="Arial" w:cs="Arial"/>
                <w:color w:val="FFFFFF"/>
                <w:sz w:val="28"/>
              </w:rPr>
              <w:t>Version</w:t>
            </w:r>
          </w:p>
        </w:tc>
        <w:tc>
          <w:tcPr>
            <w:tcW w:w="900" w:type="dxa"/>
            <w:shd w:val="clear" w:color="auto" w:fill="0000BE"/>
          </w:tcPr>
          <w:p w14:paraId="76D9BA26" w14:textId="77777777" w:rsidR="00E14135" w:rsidRPr="00746F54" w:rsidRDefault="00E14135" w:rsidP="009003C0">
            <w:pPr>
              <w:spacing w:before="60" w:after="60"/>
              <w:jc w:val="center"/>
              <w:rPr>
                <w:rFonts w:ascii="Arial" w:hAnsi="Arial" w:cs="Arial"/>
                <w:color w:val="FFFFFF"/>
                <w:sz w:val="28"/>
              </w:rPr>
            </w:pPr>
            <w:r w:rsidRPr="00746F54">
              <w:rPr>
                <w:rFonts w:ascii="Arial" w:hAnsi="Arial" w:cs="Arial"/>
                <w:color w:val="FFFFFF"/>
                <w:sz w:val="28"/>
              </w:rPr>
              <w:t>PRR No.</w:t>
            </w:r>
          </w:p>
        </w:tc>
        <w:tc>
          <w:tcPr>
            <w:tcW w:w="1170" w:type="dxa"/>
            <w:shd w:val="clear" w:color="auto" w:fill="0000BE"/>
          </w:tcPr>
          <w:p w14:paraId="19C73087" w14:textId="77777777" w:rsidR="00E14135" w:rsidRPr="00746F54" w:rsidRDefault="00E14135" w:rsidP="009003C0">
            <w:pPr>
              <w:spacing w:before="60" w:after="60"/>
              <w:jc w:val="center"/>
              <w:rPr>
                <w:rFonts w:ascii="Arial" w:hAnsi="Arial" w:cs="Arial"/>
                <w:color w:val="FFFFFF"/>
                <w:sz w:val="28"/>
              </w:rPr>
            </w:pPr>
            <w:r w:rsidRPr="00746F54">
              <w:rPr>
                <w:rFonts w:ascii="Arial" w:hAnsi="Arial" w:cs="Arial"/>
                <w:color w:val="FFFFFF"/>
                <w:sz w:val="28"/>
              </w:rPr>
              <w:t>Date Posted</w:t>
            </w:r>
          </w:p>
        </w:tc>
        <w:tc>
          <w:tcPr>
            <w:tcW w:w="1440" w:type="dxa"/>
            <w:shd w:val="clear" w:color="auto" w:fill="0000BE"/>
            <w:vAlign w:val="center"/>
          </w:tcPr>
          <w:p w14:paraId="099D741A" w14:textId="77777777" w:rsidR="00E14135" w:rsidRPr="00746F54" w:rsidRDefault="00E14135" w:rsidP="009003C0">
            <w:pPr>
              <w:spacing w:before="60" w:after="60"/>
              <w:jc w:val="center"/>
              <w:rPr>
                <w:rFonts w:ascii="Arial" w:hAnsi="Arial" w:cs="Arial"/>
                <w:color w:val="FFFFFF"/>
                <w:sz w:val="28"/>
              </w:rPr>
            </w:pPr>
            <w:r w:rsidRPr="00746F54">
              <w:rPr>
                <w:rFonts w:ascii="Arial" w:hAnsi="Arial" w:cs="Arial"/>
                <w:color w:val="FFFFFF"/>
                <w:sz w:val="28"/>
              </w:rPr>
              <w:t>Revisions Effective</w:t>
            </w:r>
          </w:p>
        </w:tc>
        <w:tc>
          <w:tcPr>
            <w:tcW w:w="5220" w:type="dxa"/>
            <w:shd w:val="clear" w:color="auto" w:fill="0000BE"/>
            <w:vAlign w:val="center"/>
          </w:tcPr>
          <w:p w14:paraId="787BC0BD" w14:textId="77777777" w:rsidR="00E14135" w:rsidRPr="00746F54" w:rsidRDefault="00E14135" w:rsidP="009003C0">
            <w:pPr>
              <w:spacing w:before="60" w:after="60"/>
              <w:jc w:val="center"/>
              <w:rPr>
                <w:rFonts w:ascii="Arial" w:hAnsi="Arial" w:cs="Arial"/>
                <w:color w:val="FFFFFF"/>
                <w:sz w:val="28"/>
              </w:rPr>
            </w:pPr>
            <w:r w:rsidRPr="00746F54">
              <w:rPr>
                <w:rFonts w:ascii="Arial" w:hAnsi="Arial" w:cs="Arial"/>
                <w:color w:val="FFFFFF"/>
                <w:sz w:val="28"/>
              </w:rPr>
              <w:t>Description</w:t>
            </w:r>
          </w:p>
        </w:tc>
      </w:tr>
      <w:tr w:rsidR="00E14135" w:rsidRPr="00746F54" w14:paraId="6D5EBF3D" w14:textId="77777777" w:rsidTr="009003C0">
        <w:tc>
          <w:tcPr>
            <w:tcW w:w="1170" w:type="dxa"/>
            <w:tcBorders>
              <w:top w:val="single" w:sz="4" w:space="0" w:color="auto"/>
              <w:left w:val="single" w:sz="4" w:space="0" w:color="auto"/>
              <w:bottom w:val="single" w:sz="4" w:space="0" w:color="auto"/>
              <w:right w:val="single" w:sz="4" w:space="0" w:color="auto"/>
            </w:tcBorders>
          </w:tcPr>
          <w:p w14:paraId="4AF587C8" w14:textId="77777777" w:rsidR="00E14135" w:rsidRPr="00746F54" w:rsidRDefault="00E14135" w:rsidP="009003C0">
            <w:pPr>
              <w:spacing w:before="120" w:after="0"/>
              <w:jc w:val="center"/>
              <w:rPr>
                <w:rFonts w:ascii="Arial" w:hAnsi="Arial" w:cs="Arial"/>
              </w:rPr>
            </w:pPr>
            <w:r w:rsidRPr="00746F54">
              <w:rPr>
                <w:rFonts w:ascii="Arial" w:hAnsi="Arial" w:cs="Arial"/>
              </w:rPr>
              <w:t>1</w:t>
            </w:r>
          </w:p>
        </w:tc>
        <w:tc>
          <w:tcPr>
            <w:tcW w:w="900" w:type="dxa"/>
            <w:tcBorders>
              <w:top w:val="single" w:sz="4" w:space="0" w:color="auto"/>
              <w:left w:val="single" w:sz="4" w:space="0" w:color="auto"/>
              <w:bottom w:val="single" w:sz="4" w:space="0" w:color="auto"/>
              <w:right w:val="single" w:sz="4" w:space="0" w:color="auto"/>
            </w:tcBorders>
          </w:tcPr>
          <w:p w14:paraId="1D887A5B" w14:textId="77777777" w:rsidR="00E14135" w:rsidRDefault="00D81D29" w:rsidP="009003C0">
            <w:pPr>
              <w:spacing w:before="120" w:after="0"/>
              <w:jc w:val="center"/>
              <w:rPr>
                <w:rFonts w:ascii="Arial" w:hAnsi="Arial" w:cs="Arial"/>
              </w:rPr>
            </w:pPr>
            <w:r>
              <w:rPr>
                <w:rFonts w:ascii="Arial" w:hAnsi="Arial" w:cs="Arial"/>
              </w:rPr>
              <w:t>1665</w:t>
            </w:r>
          </w:p>
          <w:p w14:paraId="588D34F4" w14:textId="77777777" w:rsidR="002843CA" w:rsidRDefault="002843CA" w:rsidP="009003C0">
            <w:pPr>
              <w:spacing w:before="120" w:after="0"/>
              <w:jc w:val="center"/>
              <w:rPr>
                <w:rFonts w:ascii="Arial" w:hAnsi="Arial" w:cs="Arial"/>
              </w:rPr>
            </w:pPr>
          </w:p>
          <w:p w14:paraId="76E7D2D2" w14:textId="77777777" w:rsidR="002843CA" w:rsidRDefault="002843CA" w:rsidP="009003C0">
            <w:pPr>
              <w:spacing w:before="120" w:after="0"/>
              <w:jc w:val="center"/>
              <w:rPr>
                <w:rFonts w:ascii="Arial" w:hAnsi="Arial" w:cs="Arial"/>
              </w:rPr>
            </w:pPr>
            <w:r>
              <w:rPr>
                <w:rFonts w:ascii="Arial" w:hAnsi="Arial" w:cs="Arial"/>
              </w:rPr>
              <w:t>1664</w:t>
            </w:r>
          </w:p>
          <w:p w14:paraId="4555F6BD" w14:textId="77777777" w:rsidR="008826F7" w:rsidRDefault="008826F7" w:rsidP="009003C0">
            <w:pPr>
              <w:spacing w:before="120" w:after="0"/>
              <w:jc w:val="center"/>
              <w:rPr>
                <w:rFonts w:ascii="Arial" w:hAnsi="Arial" w:cs="Arial"/>
              </w:rPr>
            </w:pPr>
          </w:p>
          <w:p w14:paraId="4C200D02" w14:textId="5B6D5E20" w:rsidR="008826F7" w:rsidRDefault="008826F7" w:rsidP="009003C0">
            <w:pPr>
              <w:spacing w:before="120" w:after="0"/>
              <w:jc w:val="center"/>
              <w:rPr>
                <w:rFonts w:ascii="Arial" w:hAnsi="Arial" w:cs="Arial"/>
              </w:rPr>
            </w:pPr>
            <w:r>
              <w:rPr>
                <w:rFonts w:ascii="Arial" w:hAnsi="Arial" w:cs="Arial"/>
              </w:rPr>
              <w:t>1670</w:t>
            </w:r>
          </w:p>
          <w:p w14:paraId="061F5A88" w14:textId="77777777" w:rsidR="008826F7" w:rsidRDefault="008826F7" w:rsidP="009003C0">
            <w:pPr>
              <w:spacing w:before="120" w:after="0"/>
              <w:jc w:val="center"/>
              <w:rPr>
                <w:rFonts w:ascii="Arial" w:hAnsi="Arial" w:cs="Arial"/>
              </w:rPr>
            </w:pPr>
          </w:p>
          <w:p w14:paraId="4866ED4E" w14:textId="049FEBA2" w:rsidR="008826F7" w:rsidRPr="00746F54" w:rsidRDefault="008826F7" w:rsidP="009003C0">
            <w:pPr>
              <w:spacing w:before="120" w:after="0"/>
              <w:jc w:val="center"/>
              <w:rPr>
                <w:rFonts w:ascii="Arial" w:hAnsi="Arial" w:cs="Arial"/>
              </w:rPr>
            </w:pPr>
            <w:r>
              <w:rPr>
                <w:rFonts w:ascii="Arial" w:hAnsi="Arial" w:cs="Arial"/>
              </w:rPr>
              <w:t>1672</w:t>
            </w:r>
          </w:p>
        </w:tc>
        <w:tc>
          <w:tcPr>
            <w:tcW w:w="1170" w:type="dxa"/>
            <w:tcBorders>
              <w:top w:val="single" w:sz="4" w:space="0" w:color="auto"/>
              <w:left w:val="single" w:sz="4" w:space="0" w:color="auto"/>
              <w:bottom w:val="single" w:sz="4" w:space="0" w:color="auto"/>
              <w:right w:val="single" w:sz="4" w:space="0" w:color="auto"/>
            </w:tcBorders>
          </w:tcPr>
          <w:p w14:paraId="2FAAA786" w14:textId="1407CACD" w:rsidR="00E14135" w:rsidRPr="00746F54" w:rsidRDefault="00D81D29" w:rsidP="009003C0">
            <w:pPr>
              <w:spacing w:before="120" w:after="0"/>
              <w:jc w:val="center"/>
              <w:rPr>
                <w:rFonts w:ascii="Arial" w:hAnsi="Arial" w:cs="Arial"/>
              </w:rPr>
            </w:pPr>
            <w:r>
              <w:rPr>
                <w:rFonts w:ascii="Arial" w:hAnsi="Arial" w:cs="Arial"/>
              </w:rPr>
              <w:t>5/1/2026</w:t>
            </w:r>
          </w:p>
        </w:tc>
        <w:tc>
          <w:tcPr>
            <w:tcW w:w="1440" w:type="dxa"/>
            <w:tcBorders>
              <w:top w:val="single" w:sz="4" w:space="0" w:color="auto"/>
              <w:left w:val="single" w:sz="4" w:space="0" w:color="auto"/>
              <w:bottom w:val="single" w:sz="4" w:space="0" w:color="auto"/>
              <w:right w:val="single" w:sz="4" w:space="0" w:color="auto"/>
            </w:tcBorders>
          </w:tcPr>
          <w:p w14:paraId="40E97F85" w14:textId="6D769EA3" w:rsidR="00E14135" w:rsidRPr="00746F54" w:rsidRDefault="00D81D29" w:rsidP="009003C0">
            <w:pPr>
              <w:spacing w:before="120" w:after="0"/>
              <w:jc w:val="center"/>
              <w:rPr>
                <w:rFonts w:ascii="Arial" w:hAnsi="Arial" w:cs="Arial"/>
              </w:rPr>
            </w:pPr>
            <w:r>
              <w:rPr>
                <w:rFonts w:ascii="Arial" w:hAnsi="Arial" w:cs="Arial"/>
              </w:rPr>
              <w:t>5/1/2026</w:t>
            </w:r>
          </w:p>
        </w:tc>
        <w:tc>
          <w:tcPr>
            <w:tcW w:w="5220" w:type="dxa"/>
            <w:tcBorders>
              <w:top w:val="single" w:sz="4" w:space="0" w:color="auto"/>
              <w:left w:val="single" w:sz="4" w:space="0" w:color="auto"/>
              <w:bottom w:val="single" w:sz="4" w:space="0" w:color="auto"/>
              <w:right w:val="single" w:sz="4" w:space="0" w:color="auto"/>
            </w:tcBorders>
            <w:vAlign w:val="center"/>
          </w:tcPr>
          <w:p w14:paraId="5D7216CD" w14:textId="0205CF58" w:rsidR="00E14135" w:rsidRDefault="002843CA" w:rsidP="009003C0">
            <w:pPr>
              <w:pStyle w:val="ParaText"/>
              <w:spacing w:before="120" w:after="0"/>
              <w:rPr>
                <w:rFonts w:ascii="Arial" w:hAnsi="Arial" w:cs="Arial"/>
              </w:rPr>
            </w:pPr>
            <w:r w:rsidRPr="008826F7">
              <w:rPr>
                <w:rFonts w:ascii="Arial" w:hAnsi="Arial" w:cs="Arial"/>
                <w:b/>
                <w:bCs/>
              </w:rPr>
              <w:t>PRR 1665</w:t>
            </w:r>
            <w:r>
              <w:rPr>
                <w:rFonts w:ascii="Arial" w:hAnsi="Arial" w:cs="Arial"/>
              </w:rPr>
              <w:t xml:space="preserve"> </w:t>
            </w:r>
            <w:r w:rsidRPr="002843CA">
              <w:rPr>
                <w:rFonts w:ascii="Arial" w:hAnsi="Arial" w:cs="Arial"/>
              </w:rPr>
              <w:t>Initial version of extended day-ahead market BPM</w:t>
            </w:r>
          </w:p>
          <w:p w14:paraId="382AD89D" w14:textId="77777777" w:rsidR="002843CA" w:rsidRDefault="002843CA" w:rsidP="009003C0">
            <w:pPr>
              <w:pStyle w:val="ParaText"/>
              <w:spacing w:before="120" w:after="0"/>
              <w:rPr>
                <w:rFonts w:ascii="Arial" w:hAnsi="Arial" w:cs="Arial"/>
              </w:rPr>
            </w:pPr>
            <w:r w:rsidRPr="008826F7">
              <w:rPr>
                <w:rFonts w:ascii="Arial" w:hAnsi="Arial" w:cs="Arial"/>
                <w:b/>
                <w:bCs/>
              </w:rPr>
              <w:t>PRR 1884</w:t>
            </w:r>
            <w:r>
              <w:rPr>
                <w:rFonts w:ascii="Arial" w:hAnsi="Arial" w:cs="Arial"/>
              </w:rPr>
              <w:t xml:space="preserve"> </w:t>
            </w:r>
            <w:r w:rsidRPr="002843CA">
              <w:rPr>
                <w:rFonts w:ascii="Arial" w:hAnsi="Arial" w:cs="Arial"/>
              </w:rPr>
              <w:t>New attachment A - California ISO's balancing authority area supplement to the extended day-ahead market BPM</w:t>
            </w:r>
          </w:p>
          <w:p w14:paraId="38F9BE04" w14:textId="7CE4EE7A" w:rsidR="008826F7" w:rsidRDefault="008826F7" w:rsidP="009003C0">
            <w:pPr>
              <w:pStyle w:val="ParaText"/>
              <w:spacing w:before="120" w:after="0"/>
              <w:rPr>
                <w:rFonts w:ascii="Arial" w:hAnsi="Arial" w:cs="Arial"/>
              </w:rPr>
            </w:pPr>
            <w:r w:rsidRPr="008826F7">
              <w:rPr>
                <w:rFonts w:ascii="Arial" w:hAnsi="Arial" w:cs="Arial"/>
                <w:b/>
                <w:bCs/>
              </w:rPr>
              <w:t>PRR 1670</w:t>
            </w:r>
            <w:r>
              <w:rPr>
                <w:rFonts w:ascii="Arial" w:hAnsi="Arial" w:cs="Arial"/>
              </w:rPr>
              <w:t xml:space="preserve"> </w:t>
            </w:r>
            <w:r w:rsidRPr="008826F7">
              <w:rPr>
                <w:rFonts w:ascii="Arial" w:hAnsi="Arial" w:cs="Arial"/>
              </w:rPr>
              <w:t>New initial condition treatment available in the extended day-ahead market</w:t>
            </w:r>
          </w:p>
          <w:p w14:paraId="58CDE1DD" w14:textId="43C54D66" w:rsidR="008826F7" w:rsidRPr="00746F54" w:rsidRDefault="008826F7" w:rsidP="009003C0">
            <w:pPr>
              <w:pStyle w:val="ParaText"/>
              <w:spacing w:before="120" w:after="0"/>
              <w:rPr>
                <w:rFonts w:ascii="Arial" w:hAnsi="Arial" w:cs="Arial"/>
              </w:rPr>
            </w:pPr>
            <w:r w:rsidRPr="008826F7">
              <w:rPr>
                <w:rFonts w:ascii="Arial" w:hAnsi="Arial" w:cs="Arial"/>
                <w:b/>
                <w:bCs/>
              </w:rPr>
              <w:t>PRR 1672</w:t>
            </w:r>
            <w:r>
              <w:rPr>
                <w:rFonts w:ascii="Arial" w:hAnsi="Arial" w:cs="Arial"/>
              </w:rPr>
              <w:t xml:space="preserve"> </w:t>
            </w:r>
            <w:r w:rsidRPr="008826F7">
              <w:rPr>
                <w:rFonts w:ascii="Arial" w:hAnsi="Arial" w:cs="Arial"/>
              </w:rPr>
              <w:t>Extended day-ahead market transition-period pricing details</w:t>
            </w:r>
          </w:p>
        </w:tc>
      </w:tr>
    </w:tbl>
    <w:p w14:paraId="5B49DFDA" w14:textId="01F18D81" w:rsidR="003C7846" w:rsidRPr="00431472" w:rsidRDefault="00E14135" w:rsidP="00AC4F11">
      <w:pPr>
        <w:spacing w:line="278" w:lineRule="auto"/>
        <w:jc w:val="center"/>
        <w:rPr>
          <w:rFonts w:ascii="Arial" w:eastAsia="Aptos" w:hAnsi="Arial" w:cs="Arial"/>
          <w:b/>
          <w:bCs/>
          <w:kern w:val="2"/>
          <w:sz w:val="24"/>
          <w:szCs w:val="24"/>
          <w14:ligatures w14:val="standardContextual"/>
        </w:rPr>
      </w:pPr>
      <w:r w:rsidRPr="00746F54">
        <w:rPr>
          <w:rFonts w:ascii="Arial" w:hAnsi="Arial" w:cs="Arial"/>
        </w:rPr>
        <w:br w:type="page"/>
      </w:r>
      <w:bookmarkStart w:id="0" w:name="_Hlk212707565"/>
      <w:bookmarkEnd w:id="0"/>
      <w:r w:rsidR="003C7846" w:rsidRPr="00431472">
        <w:rPr>
          <w:rFonts w:ascii="Arial" w:eastAsia="Aptos" w:hAnsi="Arial" w:cs="Arial"/>
          <w:b/>
          <w:bCs/>
          <w:kern w:val="2"/>
          <w:sz w:val="24"/>
          <w:szCs w:val="24"/>
          <w14:ligatures w14:val="standardContextual"/>
        </w:rPr>
        <w:lastRenderedPageBreak/>
        <w:t>TABLE OF CONTENTS</w:t>
      </w:r>
    </w:p>
    <w:p w14:paraId="09C57509" w14:textId="117C07D8" w:rsidR="00E67016" w:rsidRDefault="00D1171F">
      <w:pPr>
        <w:pStyle w:val="TOC1"/>
        <w:rPr>
          <w:rFonts w:eastAsiaTheme="minorEastAsia" w:cstheme="minorBidi"/>
          <w:b w:val="0"/>
          <w:kern w:val="2"/>
          <w:sz w:val="24"/>
          <w:szCs w:val="24"/>
          <w14:ligatures w14:val="standardContextual"/>
        </w:rPr>
      </w:pPr>
      <w:r w:rsidRPr="00746F54">
        <w:rPr>
          <w:rFonts w:ascii="Arial" w:eastAsia="Aptos" w:hAnsi="Arial"/>
          <w:b w:val="0"/>
          <w:kern w:val="2"/>
          <w:sz w:val="24"/>
          <w:szCs w:val="24"/>
          <w14:ligatures w14:val="standardContextual"/>
        </w:rPr>
        <w:fldChar w:fldCharType="begin"/>
      </w:r>
      <w:r w:rsidRPr="00431472">
        <w:rPr>
          <w:rFonts w:ascii="Arial" w:eastAsia="Aptos" w:hAnsi="Arial"/>
          <w:b w:val="0"/>
          <w:kern w:val="2"/>
          <w:sz w:val="24"/>
          <w:szCs w:val="24"/>
          <w14:ligatures w14:val="standardContextual"/>
        </w:rPr>
        <w:instrText xml:space="preserve"> TOC \o "1-2" \h \z \u </w:instrText>
      </w:r>
      <w:r w:rsidRPr="00746F54">
        <w:rPr>
          <w:rFonts w:ascii="Arial" w:eastAsia="Aptos" w:hAnsi="Arial"/>
          <w:b w:val="0"/>
          <w:kern w:val="2"/>
          <w:sz w:val="24"/>
          <w:szCs w:val="24"/>
          <w14:ligatures w14:val="standardContextual"/>
        </w:rPr>
        <w:fldChar w:fldCharType="separate"/>
      </w:r>
      <w:hyperlink w:anchor="_Toc228963672" w:history="1">
        <w:r w:rsidR="00E67016" w:rsidRPr="00837F02">
          <w:rPr>
            <w:rStyle w:val="Hyperlink"/>
            <w:rFonts w:ascii="Arial" w:hAnsi="Arial"/>
          </w:rPr>
          <w:t>1.</w:t>
        </w:r>
        <w:r w:rsidR="00E67016">
          <w:rPr>
            <w:rFonts w:eastAsiaTheme="minorEastAsia" w:cstheme="minorBidi"/>
            <w:b w:val="0"/>
            <w:kern w:val="2"/>
            <w:sz w:val="24"/>
            <w:szCs w:val="24"/>
            <w14:ligatures w14:val="standardContextual"/>
          </w:rPr>
          <w:tab/>
        </w:r>
        <w:r w:rsidR="00E67016" w:rsidRPr="00837F02">
          <w:rPr>
            <w:rStyle w:val="Hyperlink"/>
            <w:rFonts w:ascii="Arial" w:hAnsi="Arial"/>
          </w:rPr>
          <w:t>Introduction</w:t>
        </w:r>
        <w:r w:rsidR="00E67016">
          <w:rPr>
            <w:webHidden/>
          </w:rPr>
          <w:tab/>
        </w:r>
        <w:r w:rsidR="00E67016">
          <w:rPr>
            <w:webHidden/>
          </w:rPr>
          <w:fldChar w:fldCharType="begin"/>
        </w:r>
        <w:r w:rsidR="00E67016">
          <w:rPr>
            <w:webHidden/>
          </w:rPr>
          <w:instrText xml:space="preserve"> PAGEREF _Toc228963672 \h </w:instrText>
        </w:r>
        <w:r w:rsidR="00E67016">
          <w:rPr>
            <w:webHidden/>
          </w:rPr>
        </w:r>
        <w:r w:rsidR="00E67016">
          <w:rPr>
            <w:webHidden/>
          </w:rPr>
          <w:fldChar w:fldCharType="separate"/>
        </w:r>
        <w:r w:rsidR="00E67016">
          <w:rPr>
            <w:webHidden/>
          </w:rPr>
          <w:t>6</w:t>
        </w:r>
        <w:r w:rsidR="00E67016">
          <w:rPr>
            <w:webHidden/>
          </w:rPr>
          <w:fldChar w:fldCharType="end"/>
        </w:r>
      </w:hyperlink>
    </w:p>
    <w:p w14:paraId="77279ADB" w14:textId="319F8AB2" w:rsidR="00E67016" w:rsidRDefault="00E67016">
      <w:pPr>
        <w:pStyle w:val="TOC2"/>
        <w:rPr>
          <w:rFonts w:eastAsiaTheme="minorEastAsia"/>
          <w:kern w:val="2"/>
          <w:sz w:val="24"/>
          <w:szCs w:val="24"/>
          <w14:ligatures w14:val="standardContextual"/>
        </w:rPr>
      </w:pPr>
      <w:hyperlink w:anchor="_Toc228963673" w:history="1">
        <w:r w:rsidRPr="00837F02">
          <w:rPr>
            <w:rStyle w:val="Hyperlink"/>
            <w:rFonts w:ascii="Arial" w:hAnsi="Arial" w:cs="Arial"/>
          </w:rPr>
          <w:t>1.1</w:t>
        </w:r>
        <w:r>
          <w:rPr>
            <w:rFonts w:eastAsiaTheme="minorEastAsia"/>
            <w:kern w:val="2"/>
            <w:sz w:val="24"/>
            <w:szCs w:val="24"/>
            <w14:ligatures w14:val="standardContextual"/>
          </w:rPr>
          <w:tab/>
        </w:r>
        <w:r w:rsidRPr="00837F02">
          <w:rPr>
            <w:rStyle w:val="Hyperlink"/>
            <w:rFonts w:ascii="Arial" w:hAnsi="Arial" w:cs="Arial"/>
          </w:rPr>
          <w:t>Purpose of ISO Business Practice Manuals</w:t>
        </w:r>
        <w:r>
          <w:rPr>
            <w:webHidden/>
          </w:rPr>
          <w:tab/>
        </w:r>
        <w:r>
          <w:rPr>
            <w:webHidden/>
          </w:rPr>
          <w:fldChar w:fldCharType="begin"/>
        </w:r>
        <w:r>
          <w:rPr>
            <w:webHidden/>
          </w:rPr>
          <w:instrText xml:space="preserve"> PAGEREF _Toc228963673 \h </w:instrText>
        </w:r>
        <w:r>
          <w:rPr>
            <w:webHidden/>
          </w:rPr>
        </w:r>
        <w:r>
          <w:rPr>
            <w:webHidden/>
          </w:rPr>
          <w:fldChar w:fldCharType="separate"/>
        </w:r>
        <w:r>
          <w:rPr>
            <w:webHidden/>
          </w:rPr>
          <w:t>6</w:t>
        </w:r>
        <w:r>
          <w:rPr>
            <w:webHidden/>
          </w:rPr>
          <w:fldChar w:fldCharType="end"/>
        </w:r>
      </w:hyperlink>
    </w:p>
    <w:p w14:paraId="456CB36D" w14:textId="0B5FD038" w:rsidR="00E67016" w:rsidRDefault="00E67016">
      <w:pPr>
        <w:pStyle w:val="TOC2"/>
        <w:rPr>
          <w:rFonts w:eastAsiaTheme="minorEastAsia"/>
          <w:kern w:val="2"/>
          <w:sz w:val="24"/>
          <w:szCs w:val="24"/>
          <w14:ligatures w14:val="standardContextual"/>
        </w:rPr>
      </w:pPr>
      <w:hyperlink w:anchor="_Toc228963674" w:history="1">
        <w:r w:rsidRPr="00837F02">
          <w:rPr>
            <w:rStyle w:val="Hyperlink"/>
            <w:rFonts w:ascii="Arial" w:hAnsi="Arial" w:cs="Arial"/>
          </w:rPr>
          <w:t>1.2</w:t>
        </w:r>
        <w:r>
          <w:rPr>
            <w:rFonts w:eastAsiaTheme="minorEastAsia"/>
            <w:kern w:val="2"/>
            <w:sz w:val="24"/>
            <w:szCs w:val="24"/>
            <w14:ligatures w14:val="standardContextual"/>
          </w:rPr>
          <w:tab/>
        </w:r>
        <w:r w:rsidRPr="00837F02">
          <w:rPr>
            <w:rStyle w:val="Hyperlink"/>
            <w:rFonts w:ascii="Arial" w:hAnsi="Arial" w:cs="Arial"/>
          </w:rPr>
          <w:t>Purpose of this Business Practice Manual</w:t>
        </w:r>
        <w:r>
          <w:rPr>
            <w:webHidden/>
          </w:rPr>
          <w:tab/>
        </w:r>
        <w:r>
          <w:rPr>
            <w:webHidden/>
          </w:rPr>
          <w:fldChar w:fldCharType="begin"/>
        </w:r>
        <w:r>
          <w:rPr>
            <w:webHidden/>
          </w:rPr>
          <w:instrText xml:space="preserve"> PAGEREF _Toc228963674 \h </w:instrText>
        </w:r>
        <w:r>
          <w:rPr>
            <w:webHidden/>
          </w:rPr>
        </w:r>
        <w:r>
          <w:rPr>
            <w:webHidden/>
          </w:rPr>
          <w:fldChar w:fldCharType="separate"/>
        </w:r>
        <w:r>
          <w:rPr>
            <w:webHidden/>
          </w:rPr>
          <w:t>6</w:t>
        </w:r>
        <w:r>
          <w:rPr>
            <w:webHidden/>
          </w:rPr>
          <w:fldChar w:fldCharType="end"/>
        </w:r>
      </w:hyperlink>
    </w:p>
    <w:p w14:paraId="762C3DC7" w14:textId="70403B7B" w:rsidR="00E67016" w:rsidRDefault="00E67016">
      <w:pPr>
        <w:pStyle w:val="TOC2"/>
        <w:rPr>
          <w:rFonts w:eastAsiaTheme="minorEastAsia"/>
          <w:kern w:val="2"/>
          <w:sz w:val="24"/>
          <w:szCs w:val="24"/>
          <w14:ligatures w14:val="standardContextual"/>
        </w:rPr>
      </w:pPr>
      <w:hyperlink w:anchor="_Toc228963675" w:history="1">
        <w:r w:rsidRPr="00837F02">
          <w:rPr>
            <w:rStyle w:val="Hyperlink"/>
            <w:rFonts w:ascii="Arial" w:hAnsi="Arial" w:cs="Arial"/>
          </w:rPr>
          <w:t>1.3</w:t>
        </w:r>
        <w:r>
          <w:rPr>
            <w:rFonts w:eastAsiaTheme="minorEastAsia"/>
            <w:kern w:val="2"/>
            <w:sz w:val="24"/>
            <w:szCs w:val="24"/>
            <w14:ligatures w14:val="standardContextual"/>
          </w:rPr>
          <w:tab/>
        </w:r>
        <w:r w:rsidRPr="00837F02">
          <w:rPr>
            <w:rStyle w:val="Hyperlink"/>
            <w:rFonts w:ascii="Arial" w:hAnsi="Arial" w:cs="Arial"/>
          </w:rPr>
          <w:t>References</w:t>
        </w:r>
        <w:r>
          <w:rPr>
            <w:webHidden/>
          </w:rPr>
          <w:tab/>
        </w:r>
        <w:r>
          <w:rPr>
            <w:webHidden/>
          </w:rPr>
          <w:fldChar w:fldCharType="begin"/>
        </w:r>
        <w:r>
          <w:rPr>
            <w:webHidden/>
          </w:rPr>
          <w:instrText xml:space="preserve"> PAGEREF _Toc228963675 \h </w:instrText>
        </w:r>
        <w:r>
          <w:rPr>
            <w:webHidden/>
          </w:rPr>
        </w:r>
        <w:r>
          <w:rPr>
            <w:webHidden/>
          </w:rPr>
          <w:fldChar w:fldCharType="separate"/>
        </w:r>
        <w:r>
          <w:rPr>
            <w:webHidden/>
          </w:rPr>
          <w:t>6</w:t>
        </w:r>
        <w:r>
          <w:rPr>
            <w:webHidden/>
          </w:rPr>
          <w:fldChar w:fldCharType="end"/>
        </w:r>
      </w:hyperlink>
    </w:p>
    <w:p w14:paraId="1A4AEBB0" w14:textId="31EE2A98" w:rsidR="00E67016" w:rsidRDefault="00E67016">
      <w:pPr>
        <w:pStyle w:val="TOC1"/>
        <w:rPr>
          <w:rFonts w:eastAsiaTheme="minorEastAsia" w:cstheme="minorBidi"/>
          <w:b w:val="0"/>
          <w:kern w:val="2"/>
          <w:sz w:val="24"/>
          <w:szCs w:val="24"/>
          <w14:ligatures w14:val="standardContextual"/>
        </w:rPr>
      </w:pPr>
      <w:hyperlink w:anchor="_Toc228963676" w:history="1">
        <w:r w:rsidRPr="00837F02">
          <w:rPr>
            <w:rStyle w:val="Hyperlink"/>
            <w:rFonts w:ascii="Arial" w:hAnsi="Arial"/>
          </w:rPr>
          <w:t>2.</w:t>
        </w:r>
        <w:r>
          <w:rPr>
            <w:rFonts w:eastAsiaTheme="minorEastAsia" w:cstheme="minorBidi"/>
            <w:b w:val="0"/>
            <w:kern w:val="2"/>
            <w:sz w:val="24"/>
            <w:szCs w:val="24"/>
            <w14:ligatures w14:val="standardContextual"/>
          </w:rPr>
          <w:tab/>
        </w:r>
        <w:r w:rsidRPr="00837F02">
          <w:rPr>
            <w:rStyle w:val="Hyperlink"/>
            <w:rFonts w:ascii="Arial" w:hAnsi="Arial"/>
          </w:rPr>
          <w:t>Market Background</w:t>
        </w:r>
        <w:r>
          <w:rPr>
            <w:webHidden/>
          </w:rPr>
          <w:tab/>
        </w:r>
        <w:r>
          <w:rPr>
            <w:webHidden/>
          </w:rPr>
          <w:fldChar w:fldCharType="begin"/>
        </w:r>
        <w:r>
          <w:rPr>
            <w:webHidden/>
          </w:rPr>
          <w:instrText xml:space="preserve"> PAGEREF _Toc228963676 \h </w:instrText>
        </w:r>
        <w:r>
          <w:rPr>
            <w:webHidden/>
          </w:rPr>
        </w:r>
        <w:r>
          <w:rPr>
            <w:webHidden/>
          </w:rPr>
          <w:fldChar w:fldCharType="separate"/>
        </w:r>
        <w:r>
          <w:rPr>
            <w:webHidden/>
          </w:rPr>
          <w:t>7</w:t>
        </w:r>
        <w:r>
          <w:rPr>
            <w:webHidden/>
          </w:rPr>
          <w:fldChar w:fldCharType="end"/>
        </w:r>
      </w:hyperlink>
    </w:p>
    <w:p w14:paraId="47408419" w14:textId="1DBFA0F4" w:rsidR="00E67016" w:rsidRDefault="00E67016">
      <w:pPr>
        <w:pStyle w:val="TOC2"/>
        <w:rPr>
          <w:rFonts w:eastAsiaTheme="minorEastAsia"/>
          <w:kern w:val="2"/>
          <w:sz w:val="24"/>
          <w:szCs w:val="24"/>
          <w14:ligatures w14:val="standardContextual"/>
        </w:rPr>
      </w:pPr>
      <w:hyperlink w:anchor="_Toc228963677" w:history="1">
        <w:r w:rsidRPr="00837F02">
          <w:rPr>
            <w:rStyle w:val="Hyperlink"/>
            <w:rFonts w:ascii="Arial" w:hAnsi="Arial" w:cs="Arial"/>
          </w:rPr>
          <w:t>2.1</w:t>
        </w:r>
        <w:r>
          <w:rPr>
            <w:rFonts w:eastAsiaTheme="minorEastAsia"/>
            <w:kern w:val="2"/>
            <w:sz w:val="24"/>
            <w:szCs w:val="24"/>
            <w14:ligatures w14:val="standardContextual"/>
          </w:rPr>
          <w:tab/>
        </w:r>
        <w:r w:rsidRPr="00837F02">
          <w:rPr>
            <w:rStyle w:val="Hyperlink"/>
            <w:rFonts w:ascii="Arial" w:hAnsi="Arial" w:cs="Arial"/>
          </w:rPr>
          <w:t>Structure of the Extended Day-Ahead Market</w:t>
        </w:r>
        <w:r>
          <w:rPr>
            <w:webHidden/>
          </w:rPr>
          <w:tab/>
        </w:r>
        <w:r>
          <w:rPr>
            <w:webHidden/>
          </w:rPr>
          <w:fldChar w:fldCharType="begin"/>
        </w:r>
        <w:r>
          <w:rPr>
            <w:webHidden/>
          </w:rPr>
          <w:instrText xml:space="preserve"> PAGEREF _Toc228963677 \h </w:instrText>
        </w:r>
        <w:r>
          <w:rPr>
            <w:webHidden/>
          </w:rPr>
        </w:r>
        <w:r>
          <w:rPr>
            <w:webHidden/>
          </w:rPr>
          <w:fldChar w:fldCharType="separate"/>
        </w:r>
        <w:r>
          <w:rPr>
            <w:webHidden/>
          </w:rPr>
          <w:t>9</w:t>
        </w:r>
        <w:r>
          <w:rPr>
            <w:webHidden/>
          </w:rPr>
          <w:fldChar w:fldCharType="end"/>
        </w:r>
      </w:hyperlink>
    </w:p>
    <w:p w14:paraId="11187FA9" w14:textId="042A3BF7" w:rsidR="00E67016" w:rsidRDefault="00E67016">
      <w:pPr>
        <w:pStyle w:val="TOC2"/>
        <w:rPr>
          <w:rFonts w:eastAsiaTheme="minorEastAsia"/>
          <w:kern w:val="2"/>
          <w:sz w:val="24"/>
          <w:szCs w:val="24"/>
          <w14:ligatures w14:val="standardContextual"/>
        </w:rPr>
      </w:pPr>
      <w:hyperlink w:anchor="_Toc228963678" w:history="1">
        <w:r w:rsidRPr="00837F02">
          <w:rPr>
            <w:rStyle w:val="Hyperlink"/>
            <w:rFonts w:ascii="Arial" w:eastAsia="Calibri" w:hAnsi="Arial" w:cs="Arial"/>
          </w:rPr>
          <w:t>2.2</w:t>
        </w:r>
        <w:r>
          <w:rPr>
            <w:rFonts w:eastAsiaTheme="minorEastAsia"/>
            <w:kern w:val="2"/>
            <w:sz w:val="24"/>
            <w:szCs w:val="24"/>
            <w14:ligatures w14:val="standardContextual"/>
          </w:rPr>
          <w:tab/>
        </w:r>
        <w:r w:rsidRPr="00837F02">
          <w:rPr>
            <w:rStyle w:val="Hyperlink"/>
            <w:rFonts w:ascii="Arial" w:hAnsi="Arial" w:cs="Arial"/>
          </w:rPr>
          <w:t>Applicability of the ISO Tariff and this EDAM Business Practice Manual</w:t>
        </w:r>
        <w:r>
          <w:rPr>
            <w:webHidden/>
          </w:rPr>
          <w:tab/>
        </w:r>
        <w:r>
          <w:rPr>
            <w:webHidden/>
          </w:rPr>
          <w:fldChar w:fldCharType="begin"/>
        </w:r>
        <w:r>
          <w:rPr>
            <w:webHidden/>
          </w:rPr>
          <w:instrText xml:space="preserve"> PAGEREF _Toc228963678 \h </w:instrText>
        </w:r>
        <w:r>
          <w:rPr>
            <w:webHidden/>
          </w:rPr>
        </w:r>
        <w:r>
          <w:rPr>
            <w:webHidden/>
          </w:rPr>
          <w:fldChar w:fldCharType="separate"/>
        </w:r>
        <w:r>
          <w:rPr>
            <w:webHidden/>
          </w:rPr>
          <w:t>9</w:t>
        </w:r>
        <w:r>
          <w:rPr>
            <w:webHidden/>
          </w:rPr>
          <w:fldChar w:fldCharType="end"/>
        </w:r>
      </w:hyperlink>
    </w:p>
    <w:p w14:paraId="73E6424B" w14:textId="5680FFDB" w:rsidR="00E67016" w:rsidRDefault="00E67016">
      <w:pPr>
        <w:pStyle w:val="TOC2"/>
        <w:rPr>
          <w:rFonts w:eastAsiaTheme="minorEastAsia"/>
          <w:kern w:val="2"/>
          <w:sz w:val="24"/>
          <w:szCs w:val="24"/>
          <w14:ligatures w14:val="standardContextual"/>
        </w:rPr>
      </w:pPr>
      <w:hyperlink w:anchor="_Toc228963679" w:history="1">
        <w:r w:rsidRPr="00837F02">
          <w:rPr>
            <w:rStyle w:val="Hyperlink"/>
            <w:rFonts w:ascii="Arial" w:hAnsi="Arial" w:cs="Arial"/>
          </w:rPr>
          <w:t>2.3</w:t>
        </w:r>
        <w:r>
          <w:rPr>
            <w:rFonts w:eastAsiaTheme="minorEastAsia"/>
            <w:kern w:val="2"/>
            <w:sz w:val="24"/>
            <w:szCs w:val="24"/>
            <w14:ligatures w14:val="standardContextual"/>
          </w:rPr>
          <w:tab/>
        </w:r>
        <w:r w:rsidRPr="00837F02">
          <w:rPr>
            <w:rStyle w:val="Hyperlink"/>
            <w:rFonts w:ascii="Arial" w:hAnsi="Arial" w:cs="Arial"/>
          </w:rPr>
          <w:t>Additional Roles and Responsibilities under EDAM</w:t>
        </w:r>
        <w:r>
          <w:rPr>
            <w:webHidden/>
          </w:rPr>
          <w:tab/>
        </w:r>
        <w:r>
          <w:rPr>
            <w:webHidden/>
          </w:rPr>
          <w:fldChar w:fldCharType="begin"/>
        </w:r>
        <w:r>
          <w:rPr>
            <w:webHidden/>
          </w:rPr>
          <w:instrText xml:space="preserve"> PAGEREF _Toc228963679 \h </w:instrText>
        </w:r>
        <w:r>
          <w:rPr>
            <w:webHidden/>
          </w:rPr>
        </w:r>
        <w:r>
          <w:rPr>
            <w:webHidden/>
          </w:rPr>
          <w:fldChar w:fldCharType="separate"/>
        </w:r>
        <w:r>
          <w:rPr>
            <w:webHidden/>
          </w:rPr>
          <w:t>21</w:t>
        </w:r>
        <w:r>
          <w:rPr>
            <w:webHidden/>
          </w:rPr>
          <w:fldChar w:fldCharType="end"/>
        </w:r>
      </w:hyperlink>
    </w:p>
    <w:p w14:paraId="638A3785" w14:textId="2986BD67" w:rsidR="00E67016" w:rsidRDefault="00E67016">
      <w:pPr>
        <w:pStyle w:val="TOC2"/>
        <w:rPr>
          <w:rFonts w:eastAsiaTheme="minorEastAsia"/>
          <w:kern w:val="2"/>
          <w:sz w:val="24"/>
          <w:szCs w:val="24"/>
          <w14:ligatures w14:val="standardContextual"/>
        </w:rPr>
      </w:pPr>
      <w:hyperlink w:anchor="_Toc228963680" w:history="1">
        <w:r w:rsidRPr="00837F02">
          <w:rPr>
            <w:rStyle w:val="Hyperlink"/>
            <w:rFonts w:ascii="Arial" w:hAnsi="Arial" w:cs="Arial"/>
          </w:rPr>
          <w:t>2.4</w:t>
        </w:r>
        <w:r>
          <w:rPr>
            <w:rFonts w:eastAsiaTheme="minorEastAsia"/>
            <w:kern w:val="2"/>
            <w:sz w:val="24"/>
            <w:szCs w:val="24"/>
            <w14:ligatures w14:val="standardContextual"/>
          </w:rPr>
          <w:tab/>
        </w:r>
        <w:r w:rsidRPr="00837F02">
          <w:rPr>
            <w:rStyle w:val="Hyperlink"/>
            <w:rFonts w:ascii="Arial" w:hAnsi="Arial" w:cs="Arial"/>
          </w:rPr>
          <w:t>Communication Provisions of ISO Tariff in EDAM</w:t>
        </w:r>
        <w:r>
          <w:rPr>
            <w:webHidden/>
          </w:rPr>
          <w:tab/>
        </w:r>
        <w:r>
          <w:rPr>
            <w:webHidden/>
          </w:rPr>
          <w:fldChar w:fldCharType="begin"/>
        </w:r>
        <w:r>
          <w:rPr>
            <w:webHidden/>
          </w:rPr>
          <w:instrText xml:space="preserve"> PAGEREF _Toc228963680 \h </w:instrText>
        </w:r>
        <w:r>
          <w:rPr>
            <w:webHidden/>
          </w:rPr>
        </w:r>
        <w:r>
          <w:rPr>
            <w:webHidden/>
          </w:rPr>
          <w:fldChar w:fldCharType="separate"/>
        </w:r>
        <w:r>
          <w:rPr>
            <w:webHidden/>
          </w:rPr>
          <w:t>23</w:t>
        </w:r>
        <w:r>
          <w:rPr>
            <w:webHidden/>
          </w:rPr>
          <w:fldChar w:fldCharType="end"/>
        </w:r>
      </w:hyperlink>
    </w:p>
    <w:p w14:paraId="4880E852" w14:textId="3BBDBFB9" w:rsidR="00E67016" w:rsidRDefault="00E67016">
      <w:pPr>
        <w:pStyle w:val="TOC1"/>
        <w:rPr>
          <w:rFonts w:eastAsiaTheme="minorEastAsia" w:cstheme="minorBidi"/>
          <w:b w:val="0"/>
          <w:kern w:val="2"/>
          <w:sz w:val="24"/>
          <w:szCs w:val="24"/>
          <w14:ligatures w14:val="standardContextual"/>
        </w:rPr>
      </w:pPr>
      <w:hyperlink w:anchor="_Toc228963681" w:history="1">
        <w:r w:rsidRPr="00837F02">
          <w:rPr>
            <w:rStyle w:val="Hyperlink"/>
            <w:rFonts w:ascii="Arial" w:hAnsi="Arial"/>
          </w:rPr>
          <w:t>3.</w:t>
        </w:r>
        <w:r>
          <w:rPr>
            <w:rFonts w:eastAsiaTheme="minorEastAsia" w:cstheme="minorBidi"/>
            <w:b w:val="0"/>
            <w:kern w:val="2"/>
            <w:sz w:val="24"/>
            <w:szCs w:val="24"/>
            <w14:ligatures w14:val="standardContextual"/>
          </w:rPr>
          <w:tab/>
        </w:r>
        <w:r w:rsidRPr="00837F02">
          <w:rPr>
            <w:rStyle w:val="Hyperlink"/>
            <w:rFonts w:ascii="Arial" w:hAnsi="Arial"/>
          </w:rPr>
          <w:t>EDAM Operations</w:t>
        </w:r>
        <w:r>
          <w:rPr>
            <w:webHidden/>
          </w:rPr>
          <w:tab/>
        </w:r>
        <w:r>
          <w:rPr>
            <w:webHidden/>
          </w:rPr>
          <w:fldChar w:fldCharType="begin"/>
        </w:r>
        <w:r>
          <w:rPr>
            <w:webHidden/>
          </w:rPr>
          <w:instrText xml:space="preserve"> PAGEREF _Toc228963681 \h </w:instrText>
        </w:r>
        <w:r>
          <w:rPr>
            <w:webHidden/>
          </w:rPr>
        </w:r>
        <w:r>
          <w:rPr>
            <w:webHidden/>
          </w:rPr>
          <w:fldChar w:fldCharType="separate"/>
        </w:r>
        <w:r>
          <w:rPr>
            <w:webHidden/>
          </w:rPr>
          <w:t>25</w:t>
        </w:r>
        <w:r>
          <w:rPr>
            <w:webHidden/>
          </w:rPr>
          <w:fldChar w:fldCharType="end"/>
        </w:r>
      </w:hyperlink>
    </w:p>
    <w:p w14:paraId="145D670F" w14:textId="7B79D49A" w:rsidR="00E67016" w:rsidRDefault="00E67016">
      <w:pPr>
        <w:pStyle w:val="TOC2"/>
        <w:rPr>
          <w:rFonts w:eastAsiaTheme="minorEastAsia"/>
          <w:kern w:val="2"/>
          <w:sz w:val="24"/>
          <w:szCs w:val="24"/>
          <w14:ligatures w14:val="standardContextual"/>
        </w:rPr>
      </w:pPr>
      <w:hyperlink w:anchor="_Toc228963682" w:history="1">
        <w:r w:rsidRPr="00837F02">
          <w:rPr>
            <w:rStyle w:val="Hyperlink"/>
            <w:rFonts w:ascii="Arial" w:hAnsi="Arial" w:cs="Arial"/>
          </w:rPr>
          <w:t>3.1</w:t>
        </w:r>
        <w:r>
          <w:rPr>
            <w:rFonts w:eastAsiaTheme="minorEastAsia"/>
            <w:kern w:val="2"/>
            <w:sz w:val="24"/>
            <w:szCs w:val="24"/>
            <w14:ligatures w14:val="standardContextual"/>
          </w:rPr>
          <w:tab/>
        </w:r>
        <w:r w:rsidRPr="00837F02">
          <w:rPr>
            <w:rStyle w:val="Hyperlink"/>
            <w:rFonts w:ascii="Arial" w:hAnsi="Arial" w:cs="Arial"/>
          </w:rPr>
          <w:t>EDAM Transfer Modeling &amp; Transfer System Resources</w:t>
        </w:r>
        <w:r>
          <w:rPr>
            <w:webHidden/>
          </w:rPr>
          <w:tab/>
        </w:r>
        <w:r>
          <w:rPr>
            <w:webHidden/>
          </w:rPr>
          <w:fldChar w:fldCharType="begin"/>
        </w:r>
        <w:r>
          <w:rPr>
            <w:webHidden/>
          </w:rPr>
          <w:instrText xml:space="preserve"> PAGEREF _Toc228963682 \h </w:instrText>
        </w:r>
        <w:r>
          <w:rPr>
            <w:webHidden/>
          </w:rPr>
        </w:r>
        <w:r>
          <w:rPr>
            <w:webHidden/>
          </w:rPr>
          <w:fldChar w:fldCharType="separate"/>
        </w:r>
        <w:r>
          <w:rPr>
            <w:webHidden/>
          </w:rPr>
          <w:t>25</w:t>
        </w:r>
        <w:r>
          <w:rPr>
            <w:webHidden/>
          </w:rPr>
          <w:fldChar w:fldCharType="end"/>
        </w:r>
      </w:hyperlink>
    </w:p>
    <w:p w14:paraId="5E47790C" w14:textId="5EDBE362" w:rsidR="00E67016" w:rsidRDefault="00E67016">
      <w:pPr>
        <w:pStyle w:val="TOC2"/>
        <w:rPr>
          <w:rFonts w:eastAsiaTheme="minorEastAsia"/>
          <w:kern w:val="2"/>
          <w:sz w:val="24"/>
          <w:szCs w:val="24"/>
          <w14:ligatures w14:val="standardContextual"/>
        </w:rPr>
      </w:pPr>
      <w:hyperlink w:anchor="_Toc228963683" w:history="1">
        <w:r w:rsidRPr="00837F02">
          <w:rPr>
            <w:rStyle w:val="Hyperlink"/>
            <w:rFonts w:ascii="Arial" w:hAnsi="Arial" w:cs="Arial"/>
          </w:rPr>
          <w:t>3.2</w:t>
        </w:r>
        <w:r>
          <w:rPr>
            <w:rFonts w:eastAsiaTheme="minorEastAsia"/>
            <w:kern w:val="2"/>
            <w:sz w:val="24"/>
            <w:szCs w:val="24"/>
            <w14:ligatures w14:val="standardContextual"/>
          </w:rPr>
          <w:tab/>
        </w:r>
        <w:r w:rsidRPr="00837F02">
          <w:rPr>
            <w:rStyle w:val="Hyperlink"/>
            <w:rFonts w:ascii="Arial" w:hAnsi="Arial" w:cs="Arial"/>
          </w:rPr>
          <w:t>EDAM Disruption</w:t>
        </w:r>
        <w:r>
          <w:rPr>
            <w:webHidden/>
          </w:rPr>
          <w:tab/>
        </w:r>
        <w:r>
          <w:rPr>
            <w:webHidden/>
          </w:rPr>
          <w:fldChar w:fldCharType="begin"/>
        </w:r>
        <w:r>
          <w:rPr>
            <w:webHidden/>
          </w:rPr>
          <w:instrText xml:space="preserve"> PAGEREF _Toc228963683 \h </w:instrText>
        </w:r>
        <w:r>
          <w:rPr>
            <w:webHidden/>
          </w:rPr>
        </w:r>
        <w:r>
          <w:rPr>
            <w:webHidden/>
          </w:rPr>
          <w:fldChar w:fldCharType="separate"/>
        </w:r>
        <w:r>
          <w:rPr>
            <w:webHidden/>
          </w:rPr>
          <w:t>35</w:t>
        </w:r>
        <w:r>
          <w:rPr>
            <w:webHidden/>
          </w:rPr>
          <w:fldChar w:fldCharType="end"/>
        </w:r>
      </w:hyperlink>
    </w:p>
    <w:p w14:paraId="76FBAFF3" w14:textId="3A294FC8" w:rsidR="00E67016" w:rsidRDefault="00E67016">
      <w:pPr>
        <w:pStyle w:val="TOC1"/>
        <w:rPr>
          <w:rFonts w:eastAsiaTheme="minorEastAsia" w:cstheme="minorBidi"/>
          <w:b w:val="0"/>
          <w:kern w:val="2"/>
          <w:sz w:val="24"/>
          <w:szCs w:val="24"/>
          <w14:ligatures w14:val="standardContextual"/>
        </w:rPr>
      </w:pPr>
      <w:hyperlink w:anchor="_Toc228963684" w:history="1">
        <w:r w:rsidRPr="00837F02">
          <w:rPr>
            <w:rStyle w:val="Hyperlink"/>
            <w:rFonts w:ascii="Arial" w:hAnsi="Arial"/>
          </w:rPr>
          <w:t>4.</w:t>
        </w:r>
        <w:r>
          <w:rPr>
            <w:rFonts w:eastAsiaTheme="minorEastAsia" w:cstheme="minorBidi"/>
            <w:b w:val="0"/>
            <w:kern w:val="2"/>
            <w:sz w:val="24"/>
            <w:szCs w:val="24"/>
            <w14:ligatures w14:val="standardContextual"/>
          </w:rPr>
          <w:tab/>
        </w:r>
        <w:r w:rsidRPr="00837F02">
          <w:rPr>
            <w:rStyle w:val="Hyperlink"/>
            <w:rFonts w:ascii="Arial" w:hAnsi="Arial"/>
          </w:rPr>
          <w:t xml:space="preserve">Ancillary Services </w:t>
        </w:r>
        <w:r w:rsidRPr="00837F02">
          <w:rPr>
            <w:rStyle w:val="Hyperlink"/>
            <w:rFonts w:ascii="Arial" w:hAnsi="Arial"/>
          </w:rPr>
          <w:t>i</w:t>
        </w:r>
        <w:r w:rsidRPr="00837F02">
          <w:rPr>
            <w:rStyle w:val="Hyperlink"/>
            <w:rFonts w:ascii="Arial" w:hAnsi="Arial"/>
          </w:rPr>
          <w:t>n EDAM</w:t>
        </w:r>
        <w:r>
          <w:rPr>
            <w:webHidden/>
          </w:rPr>
          <w:tab/>
        </w:r>
        <w:r>
          <w:rPr>
            <w:webHidden/>
          </w:rPr>
          <w:fldChar w:fldCharType="begin"/>
        </w:r>
        <w:r>
          <w:rPr>
            <w:webHidden/>
          </w:rPr>
          <w:instrText xml:space="preserve"> PAGEREF _Toc228963684 \h </w:instrText>
        </w:r>
        <w:r>
          <w:rPr>
            <w:webHidden/>
          </w:rPr>
        </w:r>
        <w:r>
          <w:rPr>
            <w:webHidden/>
          </w:rPr>
          <w:fldChar w:fldCharType="separate"/>
        </w:r>
        <w:r>
          <w:rPr>
            <w:webHidden/>
          </w:rPr>
          <w:t>37</w:t>
        </w:r>
        <w:r>
          <w:rPr>
            <w:webHidden/>
          </w:rPr>
          <w:fldChar w:fldCharType="end"/>
        </w:r>
      </w:hyperlink>
    </w:p>
    <w:p w14:paraId="309A0161" w14:textId="6F20905E" w:rsidR="00E67016" w:rsidRDefault="00E67016">
      <w:pPr>
        <w:pStyle w:val="TOC1"/>
        <w:rPr>
          <w:rFonts w:eastAsiaTheme="minorEastAsia" w:cstheme="minorBidi"/>
          <w:b w:val="0"/>
          <w:kern w:val="2"/>
          <w:sz w:val="24"/>
          <w:szCs w:val="24"/>
          <w14:ligatures w14:val="standardContextual"/>
        </w:rPr>
      </w:pPr>
      <w:hyperlink w:anchor="_Toc228963685" w:history="1">
        <w:r w:rsidRPr="00837F02">
          <w:rPr>
            <w:rStyle w:val="Hyperlink"/>
            <w:rFonts w:ascii="Arial" w:hAnsi="Arial"/>
          </w:rPr>
          <w:t>5.</w:t>
        </w:r>
        <w:r>
          <w:rPr>
            <w:rFonts w:eastAsiaTheme="minorEastAsia" w:cstheme="minorBidi"/>
            <w:b w:val="0"/>
            <w:kern w:val="2"/>
            <w:sz w:val="24"/>
            <w:szCs w:val="24"/>
            <w14:ligatures w14:val="standardContextual"/>
          </w:rPr>
          <w:tab/>
        </w:r>
        <w:r w:rsidRPr="00837F02">
          <w:rPr>
            <w:rStyle w:val="Hyperlink"/>
            <w:rFonts w:ascii="Arial" w:hAnsi="Arial"/>
          </w:rPr>
          <w:t>Outage and Critical Contingencies</w:t>
        </w:r>
        <w:r>
          <w:rPr>
            <w:webHidden/>
          </w:rPr>
          <w:tab/>
        </w:r>
        <w:r>
          <w:rPr>
            <w:webHidden/>
          </w:rPr>
          <w:fldChar w:fldCharType="begin"/>
        </w:r>
        <w:r>
          <w:rPr>
            <w:webHidden/>
          </w:rPr>
          <w:instrText xml:space="preserve"> PAGEREF _Toc228963685 \h </w:instrText>
        </w:r>
        <w:r>
          <w:rPr>
            <w:webHidden/>
          </w:rPr>
        </w:r>
        <w:r>
          <w:rPr>
            <w:webHidden/>
          </w:rPr>
          <w:fldChar w:fldCharType="separate"/>
        </w:r>
        <w:r>
          <w:rPr>
            <w:webHidden/>
          </w:rPr>
          <w:t>37</w:t>
        </w:r>
        <w:r>
          <w:rPr>
            <w:webHidden/>
          </w:rPr>
          <w:fldChar w:fldCharType="end"/>
        </w:r>
      </w:hyperlink>
    </w:p>
    <w:p w14:paraId="1F33A2B5" w14:textId="31D49683" w:rsidR="00E67016" w:rsidRDefault="00E67016">
      <w:pPr>
        <w:pStyle w:val="TOC2"/>
        <w:rPr>
          <w:rFonts w:eastAsiaTheme="minorEastAsia"/>
          <w:kern w:val="2"/>
          <w:sz w:val="24"/>
          <w:szCs w:val="24"/>
          <w14:ligatures w14:val="standardContextual"/>
        </w:rPr>
      </w:pPr>
      <w:hyperlink w:anchor="_Toc228963686" w:history="1">
        <w:r w:rsidRPr="00837F02">
          <w:rPr>
            <w:rStyle w:val="Hyperlink"/>
            <w:rFonts w:ascii="Arial" w:hAnsi="Arial" w:cs="Arial"/>
          </w:rPr>
          <w:t>5.1</w:t>
        </w:r>
        <w:r>
          <w:rPr>
            <w:rFonts w:eastAsiaTheme="minorEastAsia"/>
            <w:kern w:val="2"/>
            <w:sz w:val="24"/>
            <w:szCs w:val="24"/>
            <w14:ligatures w14:val="standardContextual"/>
          </w:rPr>
          <w:tab/>
        </w:r>
        <w:r w:rsidRPr="00837F02">
          <w:rPr>
            <w:rStyle w:val="Hyperlink"/>
            <w:rFonts w:ascii="Arial" w:hAnsi="Arial" w:cs="Arial"/>
          </w:rPr>
          <w:t>Outage Coordination Tool</w:t>
        </w:r>
        <w:r>
          <w:rPr>
            <w:webHidden/>
          </w:rPr>
          <w:tab/>
        </w:r>
        <w:r>
          <w:rPr>
            <w:webHidden/>
          </w:rPr>
          <w:fldChar w:fldCharType="begin"/>
        </w:r>
        <w:r>
          <w:rPr>
            <w:webHidden/>
          </w:rPr>
          <w:instrText xml:space="preserve"> PAGEREF _Toc228963686 \h </w:instrText>
        </w:r>
        <w:r>
          <w:rPr>
            <w:webHidden/>
          </w:rPr>
        </w:r>
        <w:r>
          <w:rPr>
            <w:webHidden/>
          </w:rPr>
          <w:fldChar w:fldCharType="separate"/>
        </w:r>
        <w:r>
          <w:rPr>
            <w:webHidden/>
          </w:rPr>
          <w:t>38</w:t>
        </w:r>
        <w:r>
          <w:rPr>
            <w:webHidden/>
          </w:rPr>
          <w:fldChar w:fldCharType="end"/>
        </w:r>
      </w:hyperlink>
    </w:p>
    <w:p w14:paraId="1AF5C3A3" w14:textId="44806662" w:rsidR="00E67016" w:rsidRDefault="00E67016">
      <w:pPr>
        <w:pStyle w:val="TOC2"/>
        <w:rPr>
          <w:rFonts w:eastAsiaTheme="minorEastAsia"/>
          <w:kern w:val="2"/>
          <w:sz w:val="24"/>
          <w:szCs w:val="24"/>
          <w14:ligatures w14:val="standardContextual"/>
        </w:rPr>
      </w:pPr>
      <w:hyperlink w:anchor="_Toc228963687" w:history="1">
        <w:r w:rsidRPr="00837F02">
          <w:rPr>
            <w:rStyle w:val="Hyperlink"/>
            <w:rFonts w:ascii="Arial" w:hAnsi="Arial" w:cs="Arial"/>
          </w:rPr>
          <w:t>5.2</w:t>
        </w:r>
        <w:r>
          <w:rPr>
            <w:rFonts w:eastAsiaTheme="minorEastAsia"/>
            <w:kern w:val="2"/>
            <w:sz w:val="24"/>
            <w:szCs w:val="24"/>
            <w14:ligatures w14:val="standardContextual"/>
          </w:rPr>
          <w:tab/>
        </w:r>
        <w:r w:rsidRPr="00837F02">
          <w:rPr>
            <w:rStyle w:val="Hyperlink"/>
            <w:rFonts w:ascii="Arial" w:hAnsi="Arial" w:cs="Arial"/>
          </w:rPr>
          <w:t>Obligation to Notify the Market operator of Transmission Limitations</w:t>
        </w:r>
        <w:r>
          <w:rPr>
            <w:webHidden/>
          </w:rPr>
          <w:tab/>
        </w:r>
        <w:r>
          <w:rPr>
            <w:webHidden/>
          </w:rPr>
          <w:fldChar w:fldCharType="begin"/>
        </w:r>
        <w:r>
          <w:rPr>
            <w:webHidden/>
          </w:rPr>
          <w:instrText xml:space="preserve"> PAGEREF _Toc228963687 \h </w:instrText>
        </w:r>
        <w:r>
          <w:rPr>
            <w:webHidden/>
          </w:rPr>
        </w:r>
        <w:r>
          <w:rPr>
            <w:webHidden/>
          </w:rPr>
          <w:fldChar w:fldCharType="separate"/>
        </w:r>
        <w:r>
          <w:rPr>
            <w:webHidden/>
          </w:rPr>
          <w:t>40</w:t>
        </w:r>
        <w:r>
          <w:rPr>
            <w:webHidden/>
          </w:rPr>
          <w:fldChar w:fldCharType="end"/>
        </w:r>
      </w:hyperlink>
    </w:p>
    <w:p w14:paraId="615EFB6F" w14:textId="392AF4DE" w:rsidR="00E67016" w:rsidRDefault="00E67016">
      <w:pPr>
        <w:pStyle w:val="TOC1"/>
        <w:rPr>
          <w:rFonts w:eastAsiaTheme="minorEastAsia" w:cstheme="minorBidi"/>
          <w:b w:val="0"/>
          <w:kern w:val="2"/>
          <w:sz w:val="24"/>
          <w:szCs w:val="24"/>
          <w14:ligatures w14:val="standardContextual"/>
        </w:rPr>
      </w:pPr>
      <w:hyperlink w:anchor="_Toc228963688" w:history="1">
        <w:r w:rsidRPr="00837F02">
          <w:rPr>
            <w:rStyle w:val="Hyperlink"/>
            <w:rFonts w:ascii="Arial" w:hAnsi="Arial"/>
          </w:rPr>
          <w:t>6.</w:t>
        </w:r>
        <w:r>
          <w:rPr>
            <w:rFonts w:eastAsiaTheme="minorEastAsia" w:cstheme="minorBidi"/>
            <w:b w:val="0"/>
            <w:kern w:val="2"/>
            <w:sz w:val="24"/>
            <w:szCs w:val="24"/>
            <w14:ligatures w14:val="standardContextual"/>
          </w:rPr>
          <w:tab/>
        </w:r>
        <w:r w:rsidRPr="00837F02">
          <w:rPr>
            <w:rStyle w:val="Hyperlink"/>
            <w:rFonts w:ascii="Arial" w:hAnsi="Arial"/>
          </w:rPr>
          <w:t>Metering and Telemetry</w:t>
        </w:r>
        <w:r>
          <w:rPr>
            <w:webHidden/>
          </w:rPr>
          <w:tab/>
        </w:r>
        <w:r>
          <w:rPr>
            <w:webHidden/>
          </w:rPr>
          <w:fldChar w:fldCharType="begin"/>
        </w:r>
        <w:r>
          <w:rPr>
            <w:webHidden/>
          </w:rPr>
          <w:instrText xml:space="preserve"> PAGEREF _Toc228963688 \h </w:instrText>
        </w:r>
        <w:r>
          <w:rPr>
            <w:webHidden/>
          </w:rPr>
        </w:r>
        <w:r>
          <w:rPr>
            <w:webHidden/>
          </w:rPr>
          <w:fldChar w:fldCharType="separate"/>
        </w:r>
        <w:r>
          <w:rPr>
            <w:webHidden/>
          </w:rPr>
          <w:t>41</w:t>
        </w:r>
        <w:r>
          <w:rPr>
            <w:webHidden/>
          </w:rPr>
          <w:fldChar w:fldCharType="end"/>
        </w:r>
      </w:hyperlink>
    </w:p>
    <w:p w14:paraId="13E0CC82" w14:textId="79E4138D" w:rsidR="00E67016" w:rsidRDefault="00E67016">
      <w:pPr>
        <w:pStyle w:val="TOC1"/>
        <w:rPr>
          <w:rFonts w:eastAsiaTheme="minorEastAsia" w:cstheme="minorBidi"/>
          <w:b w:val="0"/>
          <w:kern w:val="2"/>
          <w:sz w:val="24"/>
          <w:szCs w:val="24"/>
          <w14:ligatures w14:val="standardContextual"/>
        </w:rPr>
      </w:pPr>
      <w:hyperlink w:anchor="_Toc228963689" w:history="1">
        <w:r w:rsidRPr="00837F02">
          <w:rPr>
            <w:rStyle w:val="Hyperlink"/>
            <w:rFonts w:ascii="Arial" w:hAnsi="Arial"/>
          </w:rPr>
          <w:t>7.</w:t>
        </w:r>
        <w:r>
          <w:rPr>
            <w:rFonts w:eastAsiaTheme="minorEastAsia" w:cstheme="minorBidi"/>
            <w:b w:val="0"/>
            <w:kern w:val="2"/>
            <w:sz w:val="24"/>
            <w:szCs w:val="24"/>
            <w14:ligatures w14:val="standardContextual"/>
          </w:rPr>
          <w:tab/>
        </w:r>
        <w:r w:rsidRPr="00837F02">
          <w:rPr>
            <w:rStyle w:val="Hyperlink"/>
            <w:rFonts w:ascii="Arial" w:hAnsi="Arial"/>
          </w:rPr>
          <w:t>Settlement and Billing for EDAM Market Participants</w:t>
        </w:r>
        <w:r>
          <w:rPr>
            <w:webHidden/>
          </w:rPr>
          <w:tab/>
        </w:r>
        <w:r>
          <w:rPr>
            <w:webHidden/>
          </w:rPr>
          <w:fldChar w:fldCharType="begin"/>
        </w:r>
        <w:r>
          <w:rPr>
            <w:webHidden/>
          </w:rPr>
          <w:instrText xml:space="preserve"> PAGEREF _Toc228963689 \h </w:instrText>
        </w:r>
        <w:r>
          <w:rPr>
            <w:webHidden/>
          </w:rPr>
        </w:r>
        <w:r>
          <w:rPr>
            <w:webHidden/>
          </w:rPr>
          <w:fldChar w:fldCharType="separate"/>
        </w:r>
        <w:r>
          <w:rPr>
            <w:webHidden/>
          </w:rPr>
          <w:t>41</w:t>
        </w:r>
        <w:r>
          <w:rPr>
            <w:webHidden/>
          </w:rPr>
          <w:fldChar w:fldCharType="end"/>
        </w:r>
      </w:hyperlink>
    </w:p>
    <w:p w14:paraId="32126261" w14:textId="492CFEA9" w:rsidR="00E67016" w:rsidRDefault="00E67016">
      <w:pPr>
        <w:pStyle w:val="TOC1"/>
        <w:rPr>
          <w:rFonts w:eastAsiaTheme="minorEastAsia" w:cstheme="minorBidi"/>
          <w:b w:val="0"/>
          <w:kern w:val="2"/>
          <w:sz w:val="24"/>
          <w:szCs w:val="24"/>
          <w14:ligatures w14:val="standardContextual"/>
        </w:rPr>
      </w:pPr>
      <w:hyperlink w:anchor="_Toc228963690" w:history="1">
        <w:r w:rsidRPr="00837F02">
          <w:rPr>
            <w:rStyle w:val="Hyperlink"/>
            <w:rFonts w:ascii="Arial" w:hAnsi="Arial"/>
          </w:rPr>
          <w:t>8.</w:t>
        </w:r>
        <w:r>
          <w:rPr>
            <w:rFonts w:eastAsiaTheme="minorEastAsia" w:cstheme="minorBidi"/>
            <w:b w:val="0"/>
            <w:kern w:val="2"/>
            <w:sz w:val="24"/>
            <w:szCs w:val="24"/>
            <w14:ligatures w14:val="standardContextual"/>
          </w:rPr>
          <w:tab/>
        </w:r>
        <w:r w:rsidRPr="00837F02">
          <w:rPr>
            <w:rStyle w:val="Hyperlink"/>
            <w:rFonts w:ascii="Arial" w:hAnsi="Arial"/>
          </w:rPr>
          <w:t>Creditworthiness</w:t>
        </w:r>
        <w:r>
          <w:rPr>
            <w:webHidden/>
          </w:rPr>
          <w:tab/>
        </w:r>
        <w:r>
          <w:rPr>
            <w:webHidden/>
          </w:rPr>
          <w:fldChar w:fldCharType="begin"/>
        </w:r>
        <w:r>
          <w:rPr>
            <w:webHidden/>
          </w:rPr>
          <w:instrText xml:space="preserve"> PAGEREF _Toc228963690 \h </w:instrText>
        </w:r>
        <w:r>
          <w:rPr>
            <w:webHidden/>
          </w:rPr>
        </w:r>
        <w:r>
          <w:rPr>
            <w:webHidden/>
          </w:rPr>
          <w:fldChar w:fldCharType="separate"/>
        </w:r>
        <w:r>
          <w:rPr>
            <w:webHidden/>
          </w:rPr>
          <w:t>42</w:t>
        </w:r>
        <w:r>
          <w:rPr>
            <w:webHidden/>
          </w:rPr>
          <w:fldChar w:fldCharType="end"/>
        </w:r>
      </w:hyperlink>
    </w:p>
    <w:p w14:paraId="06550433" w14:textId="4F2B4599" w:rsidR="00E67016" w:rsidRDefault="00E67016">
      <w:pPr>
        <w:pStyle w:val="TOC1"/>
        <w:rPr>
          <w:rFonts w:eastAsiaTheme="minorEastAsia" w:cstheme="minorBidi"/>
          <w:b w:val="0"/>
          <w:kern w:val="2"/>
          <w:sz w:val="24"/>
          <w:szCs w:val="24"/>
          <w14:ligatures w14:val="standardContextual"/>
        </w:rPr>
      </w:pPr>
      <w:hyperlink w:anchor="_Toc228963691" w:history="1">
        <w:r w:rsidRPr="00837F02">
          <w:rPr>
            <w:rStyle w:val="Hyperlink"/>
            <w:rFonts w:ascii="Arial" w:hAnsi="Arial"/>
          </w:rPr>
          <w:t>9.</w:t>
        </w:r>
        <w:r>
          <w:rPr>
            <w:rFonts w:eastAsiaTheme="minorEastAsia" w:cstheme="minorBidi"/>
            <w:b w:val="0"/>
            <w:kern w:val="2"/>
            <w:sz w:val="24"/>
            <w:szCs w:val="24"/>
            <w14:ligatures w14:val="standardContextual"/>
          </w:rPr>
          <w:tab/>
        </w:r>
        <w:r w:rsidRPr="00837F02">
          <w:rPr>
            <w:rStyle w:val="Hyperlink"/>
            <w:rFonts w:ascii="Arial" w:hAnsi="Arial"/>
          </w:rPr>
          <w:t>Dispute Resolution Provisions of the ISO Tariff in EDAM</w:t>
        </w:r>
        <w:r>
          <w:rPr>
            <w:webHidden/>
          </w:rPr>
          <w:tab/>
        </w:r>
        <w:r>
          <w:rPr>
            <w:webHidden/>
          </w:rPr>
          <w:fldChar w:fldCharType="begin"/>
        </w:r>
        <w:r>
          <w:rPr>
            <w:webHidden/>
          </w:rPr>
          <w:instrText xml:space="preserve"> PAGEREF _Toc228963691 \h </w:instrText>
        </w:r>
        <w:r>
          <w:rPr>
            <w:webHidden/>
          </w:rPr>
        </w:r>
        <w:r>
          <w:rPr>
            <w:webHidden/>
          </w:rPr>
          <w:fldChar w:fldCharType="separate"/>
        </w:r>
        <w:r>
          <w:rPr>
            <w:webHidden/>
          </w:rPr>
          <w:t>42</w:t>
        </w:r>
        <w:r>
          <w:rPr>
            <w:webHidden/>
          </w:rPr>
          <w:fldChar w:fldCharType="end"/>
        </w:r>
      </w:hyperlink>
    </w:p>
    <w:p w14:paraId="068ECDA8" w14:textId="5FC3B40C" w:rsidR="00E67016" w:rsidRDefault="00E67016">
      <w:pPr>
        <w:pStyle w:val="TOC1"/>
        <w:rPr>
          <w:rFonts w:eastAsiaTheme="minorEastAsia" w:cstheme="minorBidi"/>
          <w:b w:val="0"/>
          <w:kern w:val="2"/>
          <w:sz w:val="24"/>
          <w:szCs w:val="24"/>
          <w14:ligatures w14:val="standardContextual"/>
        </w:rPr>
      </w:pPr>
      <w:hyperlink w:anchor="_Toc228963692" w:history="1">
        <w:r w:rsidRPr="00837F02">
          <w:rPr>
            <w:rStyle w:val="Hyperlink"/>
            <w:rFonts w:ascii="Arial" w:hAnsi="Arial"/>
          </w:rPr>
          <w:t>10.</w:t>
        </w:r>
        <w:r>
          <w:rPr>
            <w:rFonts w:eastAsiaTheme="minorEastAsia" w:cstheme="minorBidi"/>
            <w:b w:val="0"/>
            <w:kern w:val="2"/>
            <w:sz w:val="24"/>
            <w:szCs w:val="24"/>
            <w14:ligatures w14:val="standardContextual"/>
          </w:rPr>
          <w:tab/>
        </w:r>
        <w:r w:rsidRPr="00837F02">
          <w:rPr>
            <w:rStyle w:val="Hyperlink"/>
            <w:rFonts w:ascii="Arial" w:hAnsi="Arial"/>
          </w:rPr>
          <w:t>Force Majeure, Indemnity, Liabilities, and Penalties</w:t>
        </w:r>
        <w:r>
          <w:rPr>
            <w:webHidden/>
          </w:rPr>
          <w:tab/>
        </w:r>
        <w:r>
          <w:rPr>
            <w:webHidden/>
          </w:rPr>
          <w:fldChar w:fldCharType="begin"/>
        </w:r>
        <w:r>
          <w:rPr>
            <w:webHidden/>
          </w:rPr>
          <w:instrText xml:space="preserve"> PAGEREF _Toc228963692 \h </w:instrText>
        </w:r>
        <w:r>
          <w:rPr>
            <w:webHidden/>
          </w:rPr>
        </w:r>
        <w:r>
          <w:rPr>
            <w:webHidden/>
          </w:rPr>
          <w:fldChar w:fldCharType="separate"/>
        </w:r>
        <w:r>
          <w:rPr>
            <w:webHidden/>
          </w:rPr>
          <w:t>42</w:t>
        </w:r>
        <w:r>
          <w:rPr>
            <w:webHidden/>
          </w:rPr>
          <w:fldChar w:fldCharType="end"/>
        </w:r>
      </w:hyperlink>
    </w:p>
    <w:p w14:paraId="2F745131" w14:textId="16BC1F80" w:rsidR="00E67016" w:rsidRDefault="00E67016">
      <w:pPr>
        <w:pStyle w:val="TOC1"/>
        <w:rPr>
          <w:rFonts w:eastAsiaTheme="minorEastAsia" w:cstheme="minorBidi"/>
          <w:b w:val="0"/>
          <w:kern w:val="2"/>
          <w:sz w:val="24"/>
          <w:szCs w:val="24"/>
          <w14:ligatures w14:val="standardContextual"/>
        </w:rPr>
      </w:pPr>
      <w:hyperlink w:anchor="_Toc228963693" w:history="1">
        <w:r w:rsidRPr="00837F02">
          <w:rPr>
            <w:rStyle w:val="Hyperlink"/>
            <w:rFonts w:ascii="Arial" w:hAnsi="Arial"/>
          </w:rPr>
          <w:t>11.</w:t>
        </w:r>
        <w:r>
          <w:rPr>
            <w:rFonts w:eastAsiaTheme="minorEastAsia" w:cstheme="minorBidi"/>
            <w:b w:val="0"/>
            <w:kern w:val="2"/>
            <w:sz w:val="24"/>
            <w:szCs w:val="24"/>
            <w14:ligatures w14:val="standardContextual"/>
          </w:rPr>
          <w:tab/>
        </w:r>
        <w:r w:rsidRPr="00837F02">
          <w:rPr>
            <w:rStyle w:val="Hyperlink"/>
            <w:rFonts w:ascii="Arial" w:hAnsi="Arial"/>
          </w:rPr>
          <w:t>EDAM Legacy Contracts</w:t>
        </w:r>
        <w:r>
          <w:rPr>
            <w:webHidden/>
          </w:rPr>
          <w:tab/>
        </w:r>
        <w:r>
          <w:rPr>
            <w:webHidden/>
          </w:rPr>
          <w:fldChar w:fldCharType="begin"/>
        </w:r>
        <w:r>
          <w:rPr>
            <w:webHidden/>
          </w:rPr>
          <w:instrText xml:space="preserve"> PAGEREF _Toc228963693 \h </w:instrText>
        </w:r>
        <w:r>
          <w:rPr>
            <w:webHidden/>
          </w:rPr>
        </w:r>
        <w:r>
          <w:rPr>
            <w:webHidden/>
          </w:rPr>
          <w:fldChar w:fldCharType="separate"/>
        </w:r>
        <w:r>
          <w:rPr>
            <w:webHidden/>
          </w:rPr>
          <w:t>42</w:t>
        </w:r>
        <w:r>
          <w:rPr>
            <w:webHidden/>
          </w:rPr>
          <w:fldChar w:fldCharType="end"/>
        </w:r>
      </w:hyperlink>
    </w:p>
    <w:p w14:paraId="1C5B9042" w14:textId="117BFD33" w:rsidR="00E67016" w:rsidRDefault="00E67016">
      <w:pPr>
        <w:pStyle w:val="TOC2"/>
        <w:rPr>
          <w:rFonts w:eastAsiaTheme="minorEastAsia"/>
          <w:kern w:val="2"/>
          <w:sz w:val="24"/>
          <w:szCs w:val="24"/>
          <w14:ligatures w14:val="standardContextual"/>
        </w:rPr>
      </w:pPr>
      <w:hyperlink w:anchor="_Toc228963694" w:history="1">
        <w:r w:rsidRPr="00837F02">
          <w:rPr>
            <w:rStyle w:val="Hyperlink"/>
            <w:rFonts w:ascii="Arial" w:hAnsi="Arial" w:cs="Arial"/>
          </w:rPr>
          <w:t>11.1</w:t>
        </w:r>
        <w:r>
          <w:rPr>
            <w:rFonts w:eastAsiaTheme="minorEastAsia"/>
            <w:kern w:val="2"/>
            <w:sz w:val="24"/>
            <w:szCs w:val="24"/>
            <w14:ligatures w14:val="standardContextual"/>
          </w:rPr>
          <w:tab/>
        </w:r>
        <w:r w:rsidRPr="00837F02">
          <w:rPr>
            <w:rStyle w:val="Hyperlink"/>
            <w:rFonts w:ascii="Arial" w:hAnsi="Arial" w:cs="Arial"/>
          </w:rPr>
          <w:t>Registration of EDAM Legacy Contracts</w:t>
        </w:r>
        <w:r>
          <w:rPr>
            <w:webHidden/>
          </w:rPr>
          <w:tab/>
        </w:r>
        <w:r>
          <w:rPr>
            <w:webHidden/>
          </w:rPr>
          <w:fldChar w:fldCharType="begin"/>
        </w:r>
        <w:r>
          <w:rPr>
            <w:webHidden/>
          </w:rPr>
          <w:instrText xml:space="preserve"> PAGEREF _Toc228963694 \h </w:instrText>
        </w:r>
        <w:r>
          <w:rPr>
            <w:webHidden/>
          </w:rPr>
        </w:r>
        <w:r>
          <w:rPr>
            <w:webHidden/>
          </w:rPr>
          <w:fldChar w:fldCharType="separate"/>
        </w:r>
        <w:r>
          <w:rPr>
            <w:webHidden/>
          </w:rPr>
          <w:t>43</w:t>
        </w:r>
        <w:r>
          <w:rPr>
            <w:webHidden/>
          </w:rPr>
          <w:fldChar w:fldCharType="end"/>
        </w:r>
      </w:hyperlink>
    </w:p>
    <w:p w14:paraId="7FB9E414" w14:textId="7D98158D" w:rsidR="00E67016" w:rsidRDefault="00E67016">
      <w:pPr>
        <w:pStyle w:val="TOC2"/>
        <w:rPr>
          <w:rFonts w:eastAsiaTheme="minorEastAsia"/>
          <w:kern w:val="2"/>
          <w:sz w:val="24"/>
          <w:szCs w:val="24"/>
          <w14:ligatures w14:val="standardContextual"/>
        </w:rPr>
      </w:pPr>
      <w:hyperlink w:anchor="_Toc228963695" w:history="1">
        <w:r w:rsidRPr="00837F02">
          <w:rPr>
            <w:rStyle w:val="Hyperlink"/>
            <w:rFonts w:ascii="Arial" w:hAnsi="Arial" w:cs="Arial"/>
          </w:rPr>
          <w:t>11.2</w:t>
        </w:r>
        <w:r>
          <w:rPr>
            <w:rFonts w:eastAsiaTheme="minorEastAsia"/>
            <w:kern w:val="2"/>
            <w:sz w:val="24"/>
            <w:szCs w:val="24"/>
            <w14:ligatures w14:val="standardContextual"/>
          </w:rPr>
          <w:tab/>
        </w:r>
        <w:r w:rsidRPr="00837F02">
          <w:rPr>
            <w:rStyle w:val="Hyperlink"/>
            <w:rFonts w:ascii="Arial" w:hAnsi="Arial" w:cs="Arial"/>
          </w:rPr>
          <w:t>Availability and Scheduling of EDAM Legacy Contracts</w:t>
        </w:r>
        <w:r>
          <w:rPr>
            <w:webHidden/>
          </w:rPr>
          <w:tab/>
        </w:r>
        <w:r>
          <w:rPr>
            <w:webHidden/>
          </w:rPr>
          <w:fldChar w:fldCharType="begin"/>
        </w:r>
        <w:r>
          <w:rPr>
            <w:webHidden/>
          </w:rPr>
          <w:instrText xml:space="preserve"> PAGEREF _Toc228963695 \h </w:instrText>
        </w:r>
        <w:r>
          <w:rPr>
            <w:webHidden/>
          </w:rPr>
        </w:r>
        <w:r>
          <w:rPr>
            <w:webHidden/>
          </w:rPr>
          <w:fldChar w:fldCharType="separate"/>
        </w:r>
        <w:r>
          <w:rPr>
            <w:webHidden/>
          </w:rPr>
          <w:t>43</w:t>
        </w:r>
        <w:r>
          <w:rPr>
            <w:webHidden/>
          </w:rPr>
          <w:fldChar w:fldCharType="end"/>
        </w:r>
      </w:hyperlink>
    </w:p>
    <w:p w14:paraId="196FC4A3" w14:textId="12FA07E3" w:rsidR="00E67016" w:rsidRDefault="00E67016">
      <w:pPr>
        <w:pStyle w:val="TOC1"/>
        <w:rPr>
          <w:rFonts w:eastAsiaTheme="minorEastAsia" w:cstheme="minorBidi"/>
          <w:b w:val="0"/>
          <w:kern w:val="2"/>
          <w:sz w:val="24"/>
          <w:szCs w:val="24"/>
          <w14:ligatures w14:val="standardContextual"/>
        </w:rPr>
      </w:pPr>
      <w:hyperlink w:anchor="_Toc228963696" w:history="1">
        <w:r w:rsidRPr="00837F02">
          <w:rPr>
            <w:rStyle w:val="Hyperlink"/>
            <w:rFonts w:ascii="Arial" w:hAnsi="Arial"/>
          </w:rPr>
          <w:t>12.</w:t>
        </w:r>
        <w:r>
          <w:rPr>
            <w:rFonts w:eastAsiaTheme="minorEastAsia" w:cstheme="minorBidi"/>
            <w:b w:val="0"/>
            <w:kern w:val="2"/>
            <w:sz w:val="24"/>
            <w:szCs w:val="24"/>
            <w14:ligatures w14:val="standardContextual"/>
          </w:rPr>
          <w:tab/>
        </w:r>
        <w:r w:rsidRPr="00837F02">
          <w:rPr>
            <w:rStyle w:val="Hyperlink"/>
            <w:rFonts w:ascii="Arial" w:hAnsi="Arial"/>
          </w:rPr>
          <w:t>EDAM Transmission Ownership Rights</w:t>
        </w:r>
        <w:r>
          <w:rPr>
            <w:webHidden/>
          </w:rPr>
          <w:tab/>
        </w:r>
        <w:r>
          <w:rPr>
            <w:webHidden/>
          </w:rPr>
          <w:fldChar w:fldCharType="begin"/>
        </w:r>
        <w:r>
          <w:rPr>
            <w:webHidden/>
          </w:rPr>
          <w:instrText xml:space="preserve"> PAGEREF _Toc228963696 \h </w:instrText>
        </w:r>
        <w:r>
          <w:rPr>
            <w:webHidden/>
          </w:rPr>
        </w:r>
        <w:r>
          <w:rPr>
            <w:webHidden/>
          </w:rPr>
          <w:fldChar w:fldCharType="separate"/>
        </w:r>
        <w:r>
          <w:rPr>
            <w:webHidden/>
          </w:rPr>
          <w:t>44</w:t>
        </w:r>
        <w:r>
          <w:rPr>
            <w:webHidden/>
          </w:rPr>
          <w:fldChar w:fldCharType="end"/>
        </w:r>
      </w:hyperlink>
    </w:p>
    <w:p w14:paraId="6FD74DF2" w14:textId="21D93D33" w:rsidR="00E67016" w:rsidRDefault="00E67016">
      <w:pPr>
        <w:pStyle w:val="TOC2"/>
        <w:rPr>
          <w:rFonts w:eastAsiaTheme="minorEastAsia"/>
          <w:kern w:val="2"/>
          <w:sz w:val="24"/>
          <w:szCs w:val="24"/>
          <w14:ligatures w14:val="standardContextual"/>
        </w:rPr>
      </w:pPr>
      <w:hyperlink w:anchor="_Toc228963697" w:history="1">
        <w:r w:rsidRPr="00837F02">
          <w:rPr>
            <w:rStyle w:val="Hyperlink"/>
            <w:rFonts w:ascii="Arial" w:hAnsi="Arial" w:cs="Arial"/>
          </w:rPr>
          <w:t>12.1</w:t>
        </w:r>
        <w:r>
          <w:rPr>
            <w:rFonts w:eastAsiaTheme="minorEastAsia"/>
            <w:kern w:val="2"/>
            <w:sz w:val="24"/>
            <w:szCs w:val="24"/>
            <w14:ligatures w14:val="standardContextual"/>
          </w:rPr>
          <w:tab/>
        </w:r>
        <w:r w:rsidRPr="00837F02">
          <w:rPr>
            <w:rStyle w:val="Hyperlink"/>
            <w:rFonts w:ascii="Arial" w:hAnsi="Arial" w:cs="Arial"/>
          </w:rPr>
          <w:t>Registration of EDAM Transmission Ownership Rights</w:t>
        </w:r>
        <w:r>
          <w:rPr>
            <w:webHidden/>
          </w:rPr>
          <w:tab/>
        </w:r>
        <w:r>
          <w:rPr>
            <w:webHidden/>
          </w:rPr>
          <w:fldChar w:fldCharType="begin"/>
        </w:r>
        <w:r>
          <w:rPr>
            <w:webHidden/>
          </w:rPr>
          <w:instrText xml:space="preserve"> PAGEREF _Toc228963697 \h </w:instrText>
        </w:r>
        <w:r>
          <w:rPr>
            <w:webHidden/>
          </w:rPr>
        </w:r>
        <w:r>
          <w:rPr>
            <w:webHidden/>
          </w:rPr>
          <w:fldChar w:fldCharType="separate"/>
        </w:r>
        <w:r>
          <w:rPr>
            <w:webHidden/>
          </w:rPr>
          <w:t>44</w:t>
        </w:r>
        <w:r>
          <w:rPr>
            <w:webHidden/>
          </w:rPr>
          <w:fldChar w:fldCharType="end"/>
        </w:r>
      </w:hyperlink>
    </w:p>
    <w:p w14:paraId="31D6279D" w14:textId="6F17F529" w:rsidR="00E67016" w:rsidRDefault="00E67016">
      <w:pPr>
        <w:pStyle w:val="TOC2"/>
        <w:rPr>
          <w:rFonts w:eastAsiaTheme="minorEastAsia"/>
          <w:kern w:val="2"/>
          <w:sz w:val="24"/>
          <w:szCs w:val="24"/>
          <w14:ligatures w14:val="standardContextual"/>
        </w:rPr>
      </w:pPr>
      <w:hyperlink w:anchor="_Toc228963698" w:history="1">
        <w:r w:rsidRPr="00837F02">
          <w:rPr>
            <w:rStyle w:val="Hyperlink"/>
            <w:rFonts w:ascii="Arial" w:hAnsi="Arial" w:cs="Arial"/>
          </w:rPr>
          <w:t>12.2</w:t>
        </w:r>
        <w:r>
          <w:rPr>
            <w:rFonts w:eastAsiaTheme="minorEastAsia"/>
            <w:kern w:val="2"/>
            <w:sz w:val="24"/>
            <w:szCs w:val="24"/>
            <w14:ligatures w14:val="standardContextual"/>
          </w:rPr>
          <w:tab/>
        </w:r>
        <w:r w:rsidRPr="00837F02">
          <w:rPr>
            <w:rStyle w:val="Hyperlink"/>
            <w:rFonts w:ascii="Arial" w:hAnsi="Arial" w:cs="Arial"/>
          </w:rPr>
          <w:t>Availability and Scheduling of EDAM Transmission Ownership Rights</w:t>
        </w:r>
        <w:r>
          <w:rPr>
            <w:webHidden/>
          </w:rPr>
          <w:tab/>
        </w:r>
        <w:r>
          <w:rPr>
            <w:webHidden/>
          </w:rPr>
          <w:fldChar w:fldCharType="begin"/>
        </w:r>
        <w:r>
          <w:rPr>
            <w:webHidden/>
          </w:rPr>
          <w:instrText xml:space="preserve"> PAGEREF _Toc228963698 \h </w:instrText>
        </w:r>
        <w:r>
          <w:rPr>
            <w:webHidden/>
          </w:rPr>
        </w:r>
        <w:r>
          <w:rPr>
            <w:webHidden/>
          </w:rPr>
          <w:fldChar w:fldCharType="separate"/>
        </w:r>
        <w:r>
          <w:rPr>
            <w:webHidden/>
          </w:rPr>
          <w:t>45</w:t>
        </w:r>
        <w:r>
          <w:rPr>
            <w:webHidden/>
          </w:rPr>
          <w:fldChar w:fldCharType="end"/>
        </w:r>
      </w:hyperlink>
    </w:p>
    <w:p w14:paraId="7FBA7EAF" w14:textId="7DC0386A" w:rsidR="00E67016" w:rsidRDefault="00E67016">
      <w:pPr>
        <w:pStyle w:val="TOC1"/>
        <w:rPr>
          <w:rFonts w:eastAsiaTheme="minorEastAsia" w:cstheme="minorBidi"/>
          <w:b w:val="0"/>
          <w:kern w:val="2"/>
          <w:sz w:val="24"/>
          <w:szCs w:val="24"/>
          <w14:ligatures w14:val="standardContextual"/>
        </w:rPr>
      </w:pPr>
      <w:hyperlink w:anchor="_Toc228963699" w:history="1">
        <w:r w:rsidRPr="00837F02">
          <w:rPr>
            <w:rStyle w:val="Hyperlink"/>
            <w:rFonts w:ascii="Arial" w:hAnsi="Arial"/>
          </w:rPr>
          <w:t>13.</w:t>
        </w:r>
        <w:r>
          <w:rPr>
            <w:rFonts w:eastAsiaTheme="minorEastAsia" w:cstheme="minorBidi"/>
            <w:b w:val="0"/>
            <w:kern w:val="2"/>
            <w:sz w:val="24"/>
            <w:szCs w:val="24"/>
            <w14:ligatures w14:val="standardContextual"/>
          </w:rPr>
          <w:tab/>
        </w:r>
        <w:r w:rsidRPr="00837F02">
          <w:rPr>
            <w:rStyle w:val="Hyperlink"/>
            <w:rFonts w:ascii="Arial" w:hAnsi="Arial"/>
          </w:rPr>
          <w:t>Tariff Transmission Service by EDAM Transmission Service Providers</w:t>
        </w:r>
        <w:r>
          <w:rPr>
            <w:webHidden/>
          </w:rPr>
          <w:tab/>
        </w:r>
        <w:r>
          <w:rPr>
            <w:webHidden/>
          </w:rPr>
          <w:fldChar w:fldCharType="begin"/>
        </w:r>
        <w:r>
          <w:rPr>
            <w:webHidden/>
          </w:rPr>
          <w:instrText xml:space="preserve"> PAGEREF _Toc228963699 \h </w:instrText>
        </w:r>
        <w:r>
          <w:rPr>
            <w:webHidden/>
          </w:rPr>
        </w:r>
        <w:r>
          <w:rPr>
            <w:webHidden/>
          </w:rPr>
          <w:fldChar w:fldCharType="separate"/>
        </w:r>
        <w:r>
          <w:rPr>
            <w:webHidden/>
          </w:rPr>
          <w:t>46</w:t>
        </w:r>
        <w:r>
          <w:rPr>
            <w:webHidden/>
          </w:rPr>
          <w:fldChar w:fldCharType="end"/>
        </w:r>
      </w:hyperlink>
    </w:p>
    <w:p w14:paraId="309AF8CF" w14:textId="29E0DC2D" w:rsidR="00E67016" w:rsidRDefault="00E67016">
      <w:pPr>
        <w:pStyle w:val="TOC2"/>
        <w:rPr>
          <w:rFonts w:eastAsiaTheme="minorEastAsia"/>
          <w:kern w:val="2"/>
          <w:sz w:val="24"/>
          <w:szCs w:val="24"/>
          <w14:ligatures w14:val="standardContextual"/>
        </w:rPr>
      </w:pPr>
      <w:hyperlink w:anchor="_Toc228963700" w:history="1">
        <w:r w:rsidRPr="00837F02">
          <w:rPr>
            <w:rStyle w:val="Hyperlink"/>
            <w:rFonts w:ascii="Arial" w:hAnsi="Arial" w:cs="Arial"/>
          </w:rPr>
          <w:t>13.1</w:t>
        </w:r>
        <w:r>
          <w:rPr>
            <w:rFonts w:eastAsiaTheme="minorEastAsia"/>
            <w:kern w:val="2"/>
            <w:sz w:val="24"/>
            <w:szCs w:val="24"/>
            <w14:ligatures w14:val="standardContextual"/>
          </w:rPr>
          <w:tab/>
        </w:r>
        <w:r w:rsidRPr="00837F02">
          <w:rPr>
            <w:rStyle w:val="Hyperlink"/>
            <w:rFonts w:ascii="Arial" w:hAnsi="Arial" w:cs="Arial"/>
          </w:rPr>
          <w:t>Registration of OATT Transmission Rights</w:t>
        </w:r>
        <w:r>
          <w:rPr>
            <w:webHidden/>
          </w:rPr>
          <w:tab/>
        </w:r>
        <w:r>
          <w:rPr>
            <w:webHidden/>
          </w:rPr>
          <w:fldChar w:fldCharType="begin"/>
        </w:r>
        <w:r>
          <w:rPr>
            <w:webHidden/>
          </w:rPr>
          <w:instrText xml:space="preserve"> PAGEREF _Toc228963700 \h </w:instrText>
        </w:r>
        <w:r>
          <w:rPr>
            <w:webHidden/>
          </w:rPr>
        </w:r>
        <w:r>
          <w:rPr>
            <w:webHidden/>
          </w:rPr>
          <w:fldChar w:fldCharType="separate"/>
        </w:r>
        <w:r>
          <w:rPr>
            <w:webHidden/>
          </w:rPr>
          <w:t>46</w:t>
        </w:r>
        <w:r>
          <w:rPr>
            <w:webHidden/>
          </w:rPr>
          <w:fldChar w:fldCharType="end"/>
        </w:r>
      </w:hyperlink>
    </w:p>
    <w:p w14:paraId="4447F324" w14:textId="5ED83858" w:rsidR="00E67016" w:rsidRDefault="00E67016">
      <w:pPr>
        <w:pStyle w:val="TOC2"/>
        <w:rPr>
          <w:rFonts w:eastAsiaTheme="minorEastAsia"/>
          <w:kern w:val="2"/>
          <w:sz w:val="24"/>
          <w:szCs w:val="24"/>
          <w14:ligatures w14:val="standardContextual"/>
        </w:rPr>
      </w:pPr>
      <w:hyperlink w:anchor="_Toc228963701" w:history="1">
        <w:r w:rsidRPr="00837F02">
          <w:rPr>
            <w:rStyle w:val="Hyperlink"/>
            <w:rFonts w:ascii="Arial" w:hAnsi="Arial" w:cs="Arial"/>
          </w:rPr>
          <w:t>13.2</w:t>
        </w:r>
        <w:r>
          <w:rPr>
            <w:rFonts w:eastAsiaTheme="minorEastAsia"/>
            <w:kern w:val="2"/>
            <w:sz w:val="24"/>
            <w:szCs w:val="24"/>
            <w14:ligatures w14:val="standardContextual"/>
          </w:rPr>
          <w:tab/>
        </w:r>
        <w:r w:rsidRPr="00837F02">
          <w:rPr>
            <w:rStyle w:val="Hyperlink"/>
            <w:rFonts w:ascii="Arial" w:hAnsi="Arial" w:cs="Arial"/>
          </w:rPr>
          <w:t>Scheduling the Exercise of OATT Transmission Rights</w:t>
        </w:r>
        <w:r>
          <w:rPr>
            <w:webHidden/>
          </w:rPr>
          <w:tab/>
        </w:r>
        <w:r>
          <w:rPr>
            <w:webHidden/>
          </w:rPr>
          <w:fldChar w:fldCharType="begin"/>
        </w:r>
        <w:r>
          <w:rPr>
            <w:webHidden/>
          </w:rPr>
          <w:instrText xml:space="preserve"> PAGEREF _Toc228963701 \h </w:instrText>
        </w:r>
        <w:r>
          <w:rPr>
            <w:webHidden/>
          </w:rPr>
        </w:r>
        <w:r>
          <w:rPr>
            <w:webHidden/>
          </w:rPr>
          <w:fldChar w:fldCharType="separate"/>
        </w:r>
        <w:r>
          <w:rPr>
            <w:webHidden/>
          </w:rPr>
          <w:t>48</w:t>
        </w:r>
        <w:r>
          <w:rPr>
            <w:webHidden/>
          </w:rPr>
          <w:fldChar w:fldCharType="end"/>
        </w:r>
      </w:hyperlink>
    </w:p>
    <w:p w14:paraId="17479308" w14:textId="357FCC6D" w:rsidR="00E67016" w:rsidRDefault="00E67016">
      <w:pPr>
        <w:pStyle w:val="TOC2"/>
        <w:rPr>
          <w:rFonts w:eastAsiaTheme="minorEastAsia"/>
          <w:kern w:val="2"/>
          <w:sz w:val="24"/>
          <w:szCs w:val="24"/>
          <w14:ligatures w14:val="standardContextual"/>
        </w:rPr>
      </w:pPr>
      <w:hyperlink w:anchor="_Toc228963702" w:history="1">
        <w:r w:rsidRPr="00837F02">
          <w:rPr>
            <w:rStyle w:val="Hyperlink"/>
            <w:rFonts w:ascii="Arial" w:hAnsi="Arial" w:cs="Arial"/>
          </w:rPr>
          <w:t>13.3</w:t>
        </w:r>
        <w:r>
          <w:rPr>
            <w:rFonts w:eastAsiaTheme="minorEastAsia"/>
            <w:kern w:val="2"/>
            <w:sz w:val="24"/>
            <w:szCs w:val="24"/>
            <w14:ligatures w14:val="standardContextual"/>
          </w:rPr>
          <w:tab/>
        </w:r>
        <w:r w:rsidRPr="00837F02">
          <w:rPr>
            <w:rStyle w:val="Hyperlink"/>
            <w:rFonts w:ascii="Arial" w:hAnsi="Arial" w:cs="Arial"/>
          </w:rPr>
          <w:t>Transmission at EDAM Interties Supporting EDAM Transfers</w:t>
        </w:r>
        <w:r>
          <w:rPr>
            <w:webHidden/>
          </w:rPr>
          <w:tab/>
        </w:r>
        <w:r>
          <w:rPr>
            <w:webHidden/>
          </w:rPr>
          <w:fldChar w:fldCharType="begin"/>
        </w:r>
        <w:r>
          <w:rPr>
            <w:webHidden/>
          </w:rPr>
          <w:instrText xml:space="preserve"> PAGEREF _Toc228963702 \h </w:instrText>
        </w:r>
        <w:r>
          <w:rPr>
            <w:webHidden/>
          </w:rPr>
        </w:r>
        <w:r>
          <w:rPr>
            <w:webHidden/>
          </w:rPr>
          <w:fldChar w:fldCharType="separate"/>
        </w:r>
        <w:r>
          <w:rPr>
            <w:webHidden/>
          </w:rPr>
          <w:t>50</w:t>
        </w:r>
        <w:r>
          <w:rPr>
            <w:webHidden/>
          </w:rPr>
          <w:fldChar w:fldCharType="end"/>
        </w:r>
      </w:hyperlink>
    </w:p>
    <w:p w14:paraId="2FE0636A" w14:textId="59EF6A7C" w:rsidR="00E67016" w:rsidRDefault="00E67016">
      <w:pPr>
        <w:pStyle w:val="TOC1"/>
        <w:rPr>
          <w:rFonts w:eastAsiaTheme="minorEastAsia" w:cstheme="minorBidi"/>
          <w:b w:val="0"/>
          <w:kern w:val="2"/>
          <w:sz w:val="24"/>
          <w:szCs w:val="24"/>
          <w14:ligatures w14:val="standardContextual"/>
        </w:rPr>
      </w:pPr>
      <w:hyperlink w:anchor="_Toc228963703" w:history="1">
        <w:r w:rsidRPr="00837F02">
          <w:rPr>
            <w:rStyle w:val="Hyperlink"/>
            <w:rFonts w:ascii="Arial" w:hAnsi="Arial"/>
          </w:rPr>
          <w:t>14.</w:t>
        </w:r>
        <w:r>
          <w:rPr>
            <w:rFonts w:eastAsiaTheme="minorEastAsia" w:cstheme="minorBidi"/>
            <w:b w:val="0"/>
            <w:kern w:val="2"/>
            <w:sz w:val="24"/>
            <w:szCs w:val="24"/>
            <w14:ligatures w14:val="standardContextual"/>
          </w:rPr>
          <w:tab/>
        </w:r>
        <w:r w:rsidRPr="00837F02">
          <w:rPr>
            <w:rStyle w:val="Hyperlink"/>
            <w:rFonts w:ascii="Arial" w:hAnsi="Arial"/>
          </w:rPr>
          <w:t>Transmission Service Requirements for EDAM Resources</w:t>
        </w:r>
        <w:r>
          <w:rPr>
            <w:webHidden/>
          </w:rPr>
          <w:tab/>
        </w:r>
        <w:r>
          <w:rPr>
            <w:webHidden/>
          </w:rPr>
          <w:fldChar w:fldCharType="begin"/>
        </w:r>
        <w:r>
          <w:rPr>
            <w:webHidden/>
          </w:rPr>
          <w:instrText xml:space="preserve"> PAGEREF _Toc228963703 \h </w:instrText>
        </w:r>
        <w:r>
          <w:rPr>
            <w:webHidden/>
          </w:rPr>
        </w:r>
        <w:r>
          <w:rPr>
            <w:webHidden/>
          </w:rPr>
          <w:fldChar w:fldCharType="separate"/>
        </w:r>
        <w:r>
          <w:rPr>
            <w:webHidden/>
          </w:rPr>
          <w:t>53</w:t>
        </w:r>
        <w:r>
          <w:rPr>
            <w:webHidden/>
          </w:rPr>
          <w:fldChar w:fldCharType="end"/>
        </w:r>
      </w:hyperlink>
    </w:p>
    <w:p w14:paraId="4E529440" w14:textId="17D0531D" w:rsidR="00E67016" w:rsidRDefault="00E67016">
      <w:pPr>
        <w:pStyle w:val="TOC1"/>
        <w:rPr>
          <w:rFonts w:eastAsiaTheme="minorEastAsia" w:cstheme="minorBidi"/>
          <w:b w:val="0"/>
          <w:kern w:val="2"/>
          <w:sz w:val="24"/>
          <w:szCs w:val="24"/>
          <w14:ligatures w14:val="standardContextual"/>
        </w:rPr>
      </w:pPr>
      <w:hyperlink w:anchor="_Toc228963704" w:history="1">
        <w:r w:rsidRPr="00837F02">
          <w:rPr>
            <w:rStyle w:val="Hyperlink"/>
            <w:rFonts w:ascii="Arial" w:hAnsi="Arial"/>
          </w:rPr>
          <w:t>15.</w:t>
        </w:r>
        <w:r>
          <w:rPr>
            <w:rFonts w:eastAsiaTheme="minorEastAsia" w:cstheme="minorBidi"/>
            <w:b w:val="0"/>
            <w:kern w:val="2"/>
            <w:sz w:val="24"/>
            <w:szCs w:val="24"/>
            <w14:ligatures w14:val="standardContextual"/>
          </w:rPr>
          <w:tab/>
        </w:r>
        <w:r w:rsidRPr="00837F02">
          <w:rPr>
            <w:rStyle w:val="Hyperlink"/>
            <w:rFonts w:ascii="Arial" w:hAnsi="Arial"/>
          </w:rPr>
          <w:t>Transmission Planning</w:t>
        </w:r>
        <w:r>
          <w:rPr>
            <w:webHidden/>
          </w:rPr>
          <w:tab/>
        </w:r>
        <w:r>
          <w:rPr>
            <w:webHidden/>
          </w:rPr>
          <w:fldChar w:fldCharType="begin"/>
        </w:r>
        <w:r>
          <w:rPr>
            <w:webHidden/>
          </w:rPr>
          <w:instrText xml:space="preserve"> PAGEREF _Toc228963704 \h </w:instrText>
        </w:r>
        <w:r>
          <w:rPr>
            <w:webHidden/>
          </w:rPr>
        </w:r>
        <w:r>
          <w:rPr>
            <w:webHidden/>
          </w:rPr>
          <w:fldChar w:fldCharType="separate"/>
        </w:r>
        <w:r>
          <w:rPr>
            <w:webHidden/>
          </w:rPr>
          <w:t>54</w:t>
        </w:r>
        <w:r>
          <w:rPr>
            <w:webHidden/>
          </w:rPr>
          <w:fldChar w:fldCharType="end"/>
        </w:r>
      </w:hyperlink>
    </w:p>
    <w:p w14:paraId="510E44AC" w14:textId="63F3165D" w:rsidR="00E67016" w:rsidRDefault="00E67016">
      <w:pPr>
        <w:pStyle w:val="TOC1"/>
        <w:rPr>
          <w:rFonts w:eastAsiaTheme="minorEastAsia" w:cstheme="minorBidi"/>
          <w:b w:val="0"/>
          <w:kern w:val="2"/>
          <w:sz w:val="24"/>
          <w:szCs w:val="24"/>
          <w14:ligatures w14:val="standardContextual"/>
        </w:rPr>
      </w:pPr>
      <w:hyperlink w:anchor="_Toc228963705" w:history="1">
        <w:r w:rsidRPr="00837F02">
          <w:rPr>
            <w:rStyle w:val="Hyperlink"/>
            <w:rFonts w:ascii="Arial" w:hAnsi="Arial"/>
          </w:rPr>
          <w:t>16.</w:t>
        </w:r>
        <w:r>
          <w:rPr>
            <w:rFonts w:eastAsiaTheme="minorEastAsia" w:cstheme="minorBidi"/>
            <w:b w:val="0"/>
            <w:kern w:val="2"/>
            <w:sz w:val="24"/>
            <w:szCs w:val="24"/>
            <w14:ligatures w14:val="standardContextual"/>
          </w:rPr>
          <w:tab/>
        </w:r>
        <w:r w:rsidRPr="00837F02">
          <w:rPr>
            <w:rStyle w:val="Hyperlink"/>
            <w:rFonts w:ascii="Arial" w:hAnsi="Arial"/>
          </w:rPr>
          <w:t>Generator Interconnection</w:t>
        </w:r>
        <w:r>
          <w:rPr>
            <w:webHidden/>
          </w:rPr>
          <w:tab/>
        </w:r>
        <w:r>
          <w:rPr>
            <w:webHidden/>
          </w:rPr>
          <w:fldChar w:fldCharType="begin"/>
        </w:r>
        <w:r>
          <w:rPr>
            <w:webHidden/>
          </w:rPr>
          <w:instrText xml:space="preserve"> PAGEREF _Toc228963705 \h </w:instrText>
        </w:r>
        <w:r>
          <w:rPr>
            <w:webHidden/>
          </w:rPr>
        </w:r>
        <w:r>
          <w:rPr>
            <w:webHidden/>
          </w:rPr>
          <w:fldChar w:fldCharType="separate"/>
        </w:r>
        <w:r>
          <w:rPr>
            <w:webHidden/>
          </w:rPr>
          <w:t>55</w:t>
        </w:r>
        <w:r>
          <w:rPr>
            <w:webHidden/>
          </w:rPr>
          <w:fldChar w:fldCharType="end"/>
        </w:r>
      </w:hyperlink>
    </w:p>
    <w:p w14:paraId="2B6D6A21" w14:textId="4D64E208" w:rsidR="00E67016" w:rsidRDefault="00E67016">
      <w:pPr>
        <w:pStyle w:val="TOC1"/>
        <w:rPr>
          <w:rFonts w:eastAsiaTheme="minorEastAsia" w:cstheme="minorBidi"/>
          <w:b w:val="0"/>
          <w:kern w:val="2"/>
          <w:sz w:val="24"/>
          <w:szCs w:val="24"/>
          <w14:ligatures w14:val="standardContextual"/>
        </w:rPr>
      </w:pPr>
      <w:hyperlink w:anchor="_Toc228963706" w:history="1">
        <w:r w:rsidRPr="00837F02">
          <w:rPr>
            <w:rStyle w:val="Hyperlink"/>
            <w:rFonts w:ascii="Arial" w:hAnsi="Arial"/>
          </w:rPr>
          <w:t>17.</w:t>
        </w:r>
        <w:r>
          <w:rPr>
            <w:rFonts w:eastAsiaTheme="minorEastAsia" w:cstheme="minorBidi"/>
            <w:b w:val="0"/>
            <w:kern w:val="2"/>
            <w:sz w:val="24"/>
            <w:szCs w:val="24"/>
            <w14:ligatures w14:val="standardContextual"/>
          </w:rPr>
          <w:tab/>
        </w:r>
        <w:r w:rsidRPr="00837F02">
          <w:rPr>
            <w:rStyle w:val="Hyperlink"/>
            <w:rFonts w:ascii="Arial" w:hAnsi="Arial"/>
          </w:rPr>
          <w:t>Historical Transmission Revenue Recovery and EDAM Access Charge</w:t>
        </w:r>
        <w:r>
          <w:rPr>
            <w:webHidden/>
          </w:rPr>
          <w:tab/>
        </w:r>
        <w:r>
          <w:rPr>
            <w:webHidden/>
          </w:rPr>
          <w:fldChar w:fldCharType="begin"/>
        </w:r>
        <w:r>
          <w:rPr>
            <w:webHidden/>
          </w:rPr>
          <w:instrText xml:space="preserve"> PAGEREF _Toc228963706 \h </w:instrText>
        </w:r>
        <w:r>
          <w:rPr>
            <w:webHidden/>
          </w:rPr>
        </w:r>
        <w:r>
          <w:rPr>
            <w:webHidden/>
          </w:rPr>
          <w:fldChar w:fldCharType="separate"/>
        </w:r>
        <w:r>
          <w:rPr>
            <w:webHidden/>
          </w:rPr>
          <w:t>55</w:t>
        </w:r>
        <w:r>
          <w:rPr>
            <w:webHidden/>
          </w:rPr>
          <w:fldChar w:fldCharType="end"/>
        </w:r>
      </w:hyperlink>
    </w:p>
    <w:p w14:paraId="1F8D4031" w14:textId="630CB432" w:rsidR="00E67016" w:rsidRDefault="00E67016">
      <w:pPr>
        <w:pStyle w:val="TOC2"/>
        <w:rPr>
          <w:rFonts w:eastAsiaTheme="minorEastAsia"/>
          <w:kern w:val="2"/>
          <w:sz w:val="24"/>
          <w:szCs w:val="24"/>
          <w14:ligatures w14:val="standardContextual"/>
        </w:rPr>
      </w:pPr>
      <w:hyperlink w:anchor="_Toc228963707" w:history="1">
        <w:r w:rsidRPr="00837F02">
          <w:rPr>
            <w:rStyle w:val="Hyperlink"/>
            <w:rFonts w:ascii="Arial" w:hAnsi="Arial" w:cs="Arial"/>
          </w:rPr>
          <w:t>17.1</w:t>
        </w:r>
        <w:r>
          <w:rPr>
            <w:rFonts w:eastAsiaTheme="minorEastAsia"/>
            <w:kern w:val="2"/>
            <w:sz w:val="24"/>
            <w:szCs w:val="24"/>
            <w14:ligatures w14:val="standardContextual"/>
          </w:rPr>
          <w:tab/>
        </w:r>
        <w:r w:rsidRPr="00837F02">
          <w:rPr>
            <w:rStyle w:val="Hyperlink"/>
            <w:rFonts w:ascii="Arial" w:hAnsi="Arial" w:cs="Arial"/>
          </w:rPr>
          <w:t>EDAM Access Charges</w:t>
        </w:r>
        <w:r>
          <w:rPr>
            <w:webHidden/>
          </w:rPr>
          <w:tab/>
        </w:r>
        <w:r>
          <w:rPr>
            <w:webHidden/>
          </w:rPr>
          <w:fldChar w:fldCharType="begin"/>
        </w:r>
        <w:r>
          <w:rPr>
            <w:webHidden/>
          </w:rPr>
          <w:instrText xml:space="preserve"> PAGEREF _Toc228963707 \h </w:instrText>
        </w:r>
        <w:r>
          <w:rPr>
            <w:webHidden/>
          </w:rPr>
        </w:r>
        <w:r>
          <w:rPr>
            <w:webHidden/>
          </w:rPr>
          <w:fldChar w:fldCharType="separate"/>
        </w:r>
        <w:r>
          <w:rPr>
            <w:webHidden/>
          </w:rPr>
          <w:t>55</w:t>
        </w:r>
        <w:r>
          <w:rPr>
            <w:webHidden/>
          </w:rPr>
          <w:fldChar w:fldCharType="end"/>
        </w:r>
      </w:hyperlink>
    </w:p>
    <w:p w14:paraId="08E4673A" w14:textId="682A865C" w:rsidR="00E67016" w:rsidRDefault="00E67016">
      <w:pPr>
        <w:pStyle w:val="TOC2"/>
        <w:rPr>
          <w:rFonts w:eastAsiaTheme="minorEastAsia"/>
          <w:kern w:val="2"/>
          <w:sz w:val="24"/>
          <w:szCs w:val="24"/>
          <w14:ligatures w14:val="standardContextual"/>
        </w:rPr>
      </w:pPr>
      <w:hyperlink w:anchor="_Toc228963708" w:history="1">
        <w:r w:rsidRPr="00837F02">
          <w:rPr>
            <w:rStyle w:val="Hyperlink"/>
            <w:rFonts w:ascii="Arial" w:hAnsi="Arial" w:cs="Arial"/>
          </w:rPr>
          <w:t>17.2</w:t>
        </w:r>
        <w:r>
          <w:rPr>
            <w:rFonts w:eastAsiaTheme="minorEastAsia"/>
            <w:kern w:val="2"/>
            <w:sz w:val="24"/>
            <w:szCs w:val="24"/>
            <w14:ligatures w14:val="standardContextual"/>
          </w:rPr>
          <w:tab/>
        </w:r>
        <w:r w:rsidRPr="00837F02">
          <w:rPr>
            <w:rStyle w:val="Hyperlink"/>
            <w:rFonts w:ascii="Arial" w:hAnsi="Arial" w:cs="Arial"/>
          </w:rPr>
          <w:t>Calculation of EDAM Recoverable Revenue</w:t>
        </w:r>
        <w:r>
          <w:rPr>
            <w:webHidden/>
          </w:rPr>
          <w:tab/>
        </w:r>
        <w:r>
          <w:rPr>
            <w:webHidden/>
          </w:rPr>
          <w:fldChar w:fldCharType="begin"/>
        </w:r>
        <w:r>
          <w:rPr>
            <w:webHidden/>
          </w:rPr>
          <w:instrText xml:space="preserve"> PAGEREF _Toc228963708 \h </w:instrText>
        </w:r>
        <w:r>
          <w:rPr>
            <w:webHidden/>
          </w:rPr>
        </w:r>
        <w:r>
          <w:rPr>
            <w:webHidden/>
          </w:rPr>
          <w:fldChar w:fldCharType="separate"/>
        </w:r>
        <w:r>
          <w:rPr>
            <w:webHidden/>
          </w:rPr>
          <w:t>56</w:t>
        </w:r>
        <w:r>
          <w:rPr>
            <w:webHidden/>
          </w:rPr>
          <w:fldChar w:fldCharType="end"/>
        </w:r>
      </w:hyperlink>
    </w:p>
    <w:p w14:paraId="3D58E43A" w14:textId="15940BF9" w:rsidR="00E67016" w:rsidRDefault="00E67016">
      <w:pPr>
        <w:pStyle w:val="TOC2"/>
        <w:rPr>
          <w:rFonts w:eastAsiaTheme="minorEastAsia"/>
          <w:kern w:val="2"/>
          <w:sz w:val="24"/>
          <w:szCs w:val="24"/>
          <w14:ligatures w14:val="standardContextual"/>
        </w:rPr>
      </w:pPr>
      <w:hyperlink w:anchor="_Toc228963709" w:history="1">
        <w:r w:rsidRPr="00837F02">
          <w:rPr>
            <w:rStyle w:val="Hyperlink"/>
            <w:rFonts w:ascii="Arial" w:hAnsi="Arial" w:cs="Arial"/>
          </w:rPr>
          <w:t>17.3</w:t>
        </w:r>
        <w:r>
          <w:rPr>
            <w:rFonts w:eastAsiaTheme="minorEastAsia"/>
            <w:kern w:val="2"/>
            <w:sz w:val="24"/>
            <w:szCs w:val="24"/>
            <w14:ligatures w14:val="standardContextual"/>
          </w:rPr>
          <w:tab/>
        </w:r>
        <w:r w:rsidRPr="00837F02">
          <w:rPr>
            <w:rStyle w:val="Hyperlink"/>
            <w:rFonts w:ascii="Arial" w:hAnsi="Arial" w:cs="Arial"/>
          </w:rPr>
          <w:t>Assessing Access Charges and Allocating Revenues in the EDAM</w:t>
        </w:r>
        <w:r>
          <w:rPr>
            <w:webHidden/>
          </w:rPr>
          <w:tab/>
        </w:r>
        <w:r>
          <w:rPr>
            <w:webHidden/>
          </w:rPr>
          <w:fldChar w:fldCharType="begin"/>
        </w:r>
        <w:r>
          <w:rPr>
            <w:webHidden/>
          </w:rPr>
          <w:instrText xml:space="preserve"> PAGEREF _Toc228963709 \h </w:instrText>
        </w:r>
        <w:r>
          <w:rPr>
            <w:webHidden/>
          </w:rPr>
        </w:r>
        <w:r>
          <w:rPr>
            <w:webHidden/>
          </w:rPr>
          <w:fldChar w:fldCharType="separate"/>
        </w:r>
        <w:r>
          <w:rPr>
            <w:webHidden/>
          </w:rPr>
          <w:t>58</w:t>
        </w:r>
        <w:r>
          <w:rPr>
            <w:webHidden/>
          </w:rPr>
          <w:fldChar w:fldCharType="end"/>
        </w:r>
      </w:hyperlink>
    </w:p>
    <w:p w14:paraId="16385BD7" w14:textId="5CCD099D" w:rsidR="00E67016" w:rsidRDefault="00E67016">
      <w:pPr>
        <w:pStyle w:val="TOC2"/>
        <w:rPr>
          <w:rFonts w:eastAsiaTheme="minorEastAsia"/>
          <w:kern w:val="2"/>
          <w:sz w:val="24"/>
          <w:szCs w:val="24"/>
          <w14:ligatures w14:val="standardContextual"/>
        </w:rPr>
      </w:pPr>
      <w:hyperlink w:anchor="_Toc228963710" w:history="1">
        <w:r w:rsidRPr="00837F02">
          <w:rPr>
            <w:rStyle w:val="Hyperlink"/>
            <w:rFonts w:ascii="Arial" w:hAnsi="Arial" w:cs="Arial"/>
          </w:rPr>
          <w:t>17.4</w:t>
        </w:r>
        <w:r>
          <w:rPr>
            <w:rFonts w:eastAsiaTheme="minorEastAsia"/>
            <w:kern w:val="2"/>
            <w:sz w:val="24"/>
            <w:szCs w:val="24"/>
            <w14:ligatures w14:val="standardContextual"/>
          </w:rPr>
          <w:tab/>
        </w:r>
        <w:r w:rsidRPr="00837F02">
          <w:rPr>
            <w:rStyle w:val="Hyperlink"/>
            <w:rFonts w:ascii="Arial" w:hAnsi="Arial" w:cs="Arial"/>
          </w:rPr>
          <w:t>Documentation</w:t>
        </w:r>
        <w:r>
          <w:rPr>
            <w:webHidden/>
          </w:rPr>
          <w:tab/>
        </w:r>
        <w:r>
          <w:rPr>
            <w:webHidden/>
          </w:rPr>
          <w:fldChar w:fldCharType="begin"/>
        </w:r>
        <w:r>
          <w:rPr>
            <w:webHidden/>
          </w:rPr>
          <w:instrText xml:space="preserve"> PAGEREF _Toc228963710 \h </w:instrText>
        </w:r>
        <w:r>
          <w:rPr>
            <w:webHidden/>
          </w:rPr>
        </w:r>
        <w:r>
          <w:rPr>
            <w:webHidden/>
          </w:rPr>
          <w:fldChar w:fldCharType="separate"/>
        </w:r>
        <w:r>
          <w:rPr>
            <w:webHidden/>
          </w:rPr>
          <w:t>58</w:t>
        </w:r>
        <w:r>
          <w:rPr>
            <w:webHidden/>
          </w:rPr>
          <w:fldChar w:fldCharType="end"/>
        </w:r>
      </w:hyperlink>
    </w:p>
    <w:p w14:paraId="0B28079F" w14:textId="5306BFDF" w:rsidR="00E67016" w:rsidRDefault="00E67016">
      <w:pPr>
        <w:pStyle w:val="TOC2"/>
        <w:rPr>
          <w:rFonts w:eastAsiaTheme="minorEastAsia"/>
          <w:kern w:val="2"/>
          <w:sz w:val="24"/>
          <w:szCs w:val="24"/>
          <w14:ligatures w14:val="standardContextual"/>
        </w:rPr>
      </w:pPr>
      <w:hyperlink w:anchor="_Toc228963711" w:history="1">
        <w:r w:rsidRPr="00837F02">
          <w:rPr>
            <w:rStyle w:val="Hyperlink"/>
            <w:rFonts w:ascii="Arial" w:hAnsi="Arial" w:cs="Arial"/>
          </w:rPr>
          <w:t>17.5</w:t>
        </w:r>
        <w:r>
          <w:rPr>
            <w:rFonts w:eastAsiaTheme="minorEastAsia"/>
            <w:kern w:val="2"/>
            <w:sz w:val="24"/>
            <w:szCs w:val="24"/>
            <w14:ligatures w14:val="standardContextual"/>
          </w:rPr>
          <w:tab/>
        </w:r>
        <w:r w:rsidRPr="00837F02">
          <w:rPr>
            <w:rStyle w:val="Hyperlink"/>
            <w:rFonts w:ascii="Arial" w:hAnsi="Arial" w:cs="Arial"/>
          </w:rPr>
          <w:t>Exit from EDAM</w:t>
        </w:r>
        <w:r>
          <w:rPr>
            <w:webHidden/>
          </w:rPr>
          <w:tab/>
        </w:r>
        <w:r>
          <w:rPr>
            <w:webHidden/>
          </w:rPr>
          <w:fldChar w:fldCharType="begin"/>
        </w:r>
        <w:r>
          <w:rPr>
            <w:webHidden/>
          </w:rPr>
          <w:instrText xml:space="preserve"> PAGEREF _Toc228963711 \h </w:instrText>
        </w:r>
        <w:r>
          <w:rPr>
            <w:webHidden/>
          </w:rPr>
        </w:r>
        <w:r>
          <w:rPr>
            <w:webHidden/>
          </w:rPr>
          <w:fldChar w:fldCharType="separate"/>
        </w:r>
        <w:r>
          <w:rPr>
            <w:webHidden/>
          </w:rPr>
          <w:t>59</w:t>
        </w:r>
        <w:r>
          <w:rPr>
            <w:webHidden/>
          </w:rPr>
          <w:fldChar w:fldCharType="end"/>
        </w:r>
      </w:hyperlink>
    </w:p>
    <w:p w14:paraId="19B9214D" w14:textId="06B6589C" w:rsidR="00E67016" w:rsidRDefault="00E67016">
      <w:pPr>
        <w:pStyle w:val="TOC2"/>
        <w:rPr>
          <w:rFonts w:eastAsiaTheme="minorEastAsia"/>
          <w:kern w:val="2"/>
          <w:sz w:val="24"/>
          <w:szCs w:val="24"/>
          <w14:ligatures w14:val="standardContextual"/>
        </w:rPr>
      </w:pPr>
      <w:hyperlink w:anchor="_Toc228963712" w:history="1">
        <w:r w:rsidRPr="00837F02">
          <w:rPr>
            <w:rStyle w:val="Hyperlink"/>
            <w:rFonts w:ascii="Arial" w:hAnsi="Arial" w:cs="Arial"/>
          </w:rPr>
          <w:t>17.6</w:t>
        </w:r>
        <w:r>
          <w:rPr>
            <w:rFonts w:eastAsiaTheme="minorEastAsia"/>
            <w:kern w:val="2"/>
            <w:sz w:val="24"/>
            <w:szCs w:val="24"/>
            <w14:ligatures w14:val="standardContextual"/>
          </w:rPr>
          <w:tab/>
        </w:r>
        <w:r w:rsidRPr="00837F02">
          <w:rPr>
            <w:rStyle w:val="Hyperlink"/>
            <w:rFonts w:ascii="Arial" w:hAnsi="Arial" w:cs="Arial"/>
          </w:rPr>
          <w:t>Three-Year Review</w:t>
        </w:r>
        <w:r>
          <w:rPr>
            <w:webHidden/>
          </w:rPr>
          <w:tab/>
        </w:r>
        <w:r>
          <w:rPr>
            <w:webHidden/>
          </w:rPr>
          <w:fldChar w:fldCharType="begin"/>
        </w:r>
        <w:r>
          <w:rPr>
            <w:webHidden/>
          </w:rPr>
          <w:instrText xml:space="preserve"> PAGEREF _Toc228963712 \h </w:instrText>
        </w:r>
        <w:r>
          <w:rPr>
            <w:webHidden/>
          </w:rPr>
        </w:r>
        <w:r>
          <w:rPr>
            <w:webHidden/>
          </w:rPr>
          <w:fldChar w:fldCharType="separate"/>
        </w:r>
        <w:r>
          <w:rPr>
            <w:webHidden/>
          </w:rPr>
          <w:t>59</w:t>
        </w:r>
        <w:r>
          <w:rPr>
            <w:webHidden/>
          </w:rPr>
          <w:fldChar w:fldCharType="end"/>
        </w:r>
      </w:hyperlink>
    </w:p>
    <w:p w14:paraId="6E3F45D6" w14:textId="6014CAC8" w:rsidR="00E67016" w:rsidRDefault="00E67016">
      <w:pPr>
        <w:pStyle w:val="TOC2"/>
        <w:rPr>
          <w:rFonts w:eastAsiaTheme="minorEastAsia"/>
          <w:kern w:val="2"/>
          <w:sz w:val="24"/>
          <w:szCs w:val="24"/>
          <w14:ligatures w14:val="standardContextual"/>
        </w:rPr>
      </w:pPr>
      <w:hyperlink w:anchor="_Toc228963713" w:history="1">
        <w:r w:rsidRPr="00837F02">
          <w:rPr>
            <w:rStyle w:val="Hyperlink"/>
            <w:rFonts w:ascii="Arial" w:hAnsi="Arial" w:cs="Arial"/>
          </w:rPr>
          <w:t>17.7</w:t>
        </w:r>
        <w:r>
          <w:rPr>
            <w:rFonts w:eastAsiaTheme="minorEastAsia"/>
            <w:kern w:val="2"/>
            <w:sz w:val="24"/>
            <w:szCs w:val="24"/>
            <w14:ligatures w14:val="standardContextual"/>
          </w:rPr>
          <w:tab/>
        </w:r>
        <w:r w:rsidRPr="00837F02">
          <w:rPr>
            <w:rStyle w:val="Hyperlink"/>
            <w:rFonts w:ascii="Arial" w:hAnsi="Arial" w:cs="Arial"/>
          </w:rPr>
          <w:t>EDAM Access Charge Calculation Examples</w:t>
        </w:r>
        <w:r>
          <w:rPr>
            <w:webHidden/>
          </w:rPr>
          <w:tab/>
        </w:r>
        <w:r>
          <w:rPr>
            <w:webHidden/>
          </w:rPr>
          <w:fldChar w:fldCharType="begin"/>
        </w:r>
        <w:r>
          <w:rPr>
            <w:webHidden/>
          </w:rPr>
          <w:instrText xml:space="preserve"> PAGEREF _Toc228963713 \h </w:instrText>
        </w:r>
        <w:r>
          <w:rPr>
            <w:webHidden/>
          </w:rPr>
        </w:r>
        <w:r>
          <w:rPr>
            <w:webHidden/>
          </w:rPr>
          <w:fldChar w:fldCharType="separate"/>
        </w:r>
        <w:r>
          <w:rPr>
            <w:webHidden/>
          </w:rPr>
          <w:t>60</w:t>
        </w:r>
        <w:r>
          <w:rPr>
            <w:webHidden/>
          </w:rPr>
          <w:fldChar w:fldCharType="end"/>
        </w:r>
      </w:hyperlink>
    </w:p>
    <w:p w14:paraId="0C670BCC" w14:textId="58E948C9" w:rsidR="00E67016" w:rsidRDefault="00E67016">
      <w:pPr>
        <w:pStyle w:val="TOC1"/>
        <w:rPr>
          <w:rFonts w:eastAsiaTheme="minorEastAsia" w:cstheme="minorBidi"/>
          <w:b w:val="0"/>
          <w:kern w:val="2"/>
          <w:sz w:val="24"/>
          <w:szCs w:val="24"/>
          <w14:ligatures w14:val="standardContextual"/>
        </w:rPr>
      </w:pPr>
      <w:hyperlink w:anchor="_Toc228963714" w:history="1">
        <w:r w:rsidRPr="00837F02">
          <w:rPr>
            <w:rStyle w:val="Hyperlink"/>
            <w:rFonts w:ascii="Arial" w:hAnsi="Arial"/>
          </w:rPr>
          <w:t>18.</w:t>
        </w:r>
        <w:r>
          <w:rPr>
            <w:rFonts w:eastAsiaTheme="minorEastAsia" w:cstheme="minorBidi"/>
            <w:b w:val="0"/>
            <w:kern w:val="2"/>
            <w:sz w:val="24"/>
            <w:szCs w:val="24"/>
            <w14:ligatures w14:val="standardContextual"/>
          </w:rPr>
          <w:tab/>
        </w:r>
        <w:r w:rsidRPr="00837F02">
          <w:rPr>
            <w:rStyle w:val="Hyperlink"/>
            <w:rFonts w:ascii="Arial" w:hAnsi="Arial"/>
          </w:rPr>
          <w:t>CAISO Markets and Processes</w:t>
        </w:r>
        <w:r>
          <w:rPr>
            <w:webHidden/>
          </w:rPr>
          <w:tab/>
        </w:r>
        <w:r>
          <w:rPr>
            <w:webHidden/>
          </w:rPr>
          <w:fldChar w:fldCharType="begin"/>
        </w:r>
        <w:r>
          <w:rPr>
            <w:webHidden/>
          </w:rPr>
          <w:instrText xml:space="preserve"> PAGEREF _Toc228963714 \h </w:instrText>
        </w:r>
        <w:r>
          <w:rPr>
            <w:webHidden/>
          </w:rPr>
        </w:r>
        <w:r>
          <w:rPr>
            <w:webHidden/>
          </w:rPr>
          <w:fldChar w:fldCharType="separate"/>
        </w:r>
        <w:r>
          <w:rPr>
            <w:webHidden/>
          </w:rPr>
          <w:t>66</w:t>
        </w:r>
        <w:r>
          <w:rPr>
            <w:webHidden/>
          </w:rPr>
          <w:fldChar w:fldCharType="end"/>
        </w:r>
      </w:hyperlink>
    </w:p>
    <w:p w14:paraId="683C37B2" w14:textId="1B9AED38" w:rsidR="00E67016" w:rsidRDefault="00E67016">
      <w:pPr>
        <w:pStyle w:val="TOC2"/>
        <w:rPr>
          <w:rFonts w:eastAsiaTheme="minorEastAsia"/>
          <w:kern w:val="2"/>
          <w:sz w:val="24"/>
          <w:szCs w:val="24"/>
          <w14:ligatures w14:val="standardContextual"/>
        </w:rPr>
      </w:pPr>
      <w:hyperlink w:anchor="_Toc228963715" w:history="1">
        <w:r w:rsidRPr="00837F02">
          <w:rPr>
            <w:rStyle w:val="Hyperlink"/>
            <w:rFonts w:ascii="Arial" w:hAnsi="Arial" w:cs="Arial"/>
          </w:rPr>
          <w:t>18.1</w:t>
        </w:r>
        <w:r>
          <w:rPr>
            <w:rFonts w:eastAsiaTheme="minorEastAsia"/>
            <w:kern w:val="2"/>
            <w:sz w:val="24"/>
            <w:szCs w:val="24"/>
            <w14:ligatures w14:val="standardContextual"/>
          </w:rPr>
          <w:tab/>
        </w:r>
        <w:r w:rsidRPr="00837F02">
          <w:rPr>
            <w:rStyle w:val="Hyperlink"/>
            <w:rFonts w:ascii="Arial" w:hAnsi="Arial" w:cs="Arial"/>
          </w:rPr>
          <w:t>Locational Ma</w:t>
        </w:r>
        <w:r w:rsidRPr="00837F02">
          <w:rPr>
            <w:rStyle w:val="Hyperlink"/>
            <w:rFonts w:ascii="Arial" w:hAnsi="Arial" w:cs="Arial"/>
          </w:rPr>
          <w:t>r</w:t>
        </w:r>
        <w:r w:rsidRPr="00837F02">
          <w:rPr>
            <w:rStyle w:val="Hyperlink"/>
            <w:rFonts w:ascii="Arial" w:hAnsi="Arial" w:cs="Arial"/>
          </w:rPr>
          <w:t>ginal Prices formation</w:t>
        </w:r>
        <w:r>
          <w:rPr>
            <w:webHidden/>
          </w:rPr>
          <w:tab/>
        </w:r>
        <w:r>
          <w:rPr>
            <w:webHidden/>
          </w:rPr>
          <w:fldChar w:fldCharType="begin"/>
        </w:r>
        <w:r>
          <w:rPr>
            <w:webHidden/>
          </w:rPr>
          <w:instrText xml:space="preserve"> PAGEREF _Toc228963715 \h </w:instrText>
        </w:r>
        <w:r>
          <w:rPr>
            <w:webHidden/>
          </w:rPr>
        </w:r>
        <w:r>
          <w:rPr>
            <w:webHidden/>
          </w:rPr>
          <w:fldChar w:fldCharType="separate"/>
        </w:r>
        <w:r>
          <w:rPr>
            <w:webHidden/>
          </w:rPr>
          <w:t>66</w:t>
        </w:r>
        <w:r>
          <w:rPr>
            <w:webHidden/>
          </w:rPr>
          <w:fldChar w:fldCharType="end"/>
        </w:r>
      </w:hyperlink>
    </w:p>
    <w:p w14:paraId="69319668" w14:textId="73D6FA37" w:rsidR="00E67016" w:rsidRDefault="00E67016">
      <w:pPr>
        <w:pStyle w:val="TOC2"/>
        <w:rPr>
          <w:rFonts w:eastAsiaTheme="minorEastAsia"/>
          <w:kern w:val="2"/>
          <w:sz w:val="24"/>
          <w:szCs w:val="24"/>
          <w14:ligatures w14:val="standardContextual"/>
        </w:rPr>
      </w:pPr>
      <w:hyperlink w:anchor="_Toc228963716" w:history="1">
        <w:r w:rsidRPr="00837F02">
          <w:rPr>
            <w:rStyle w:val="Hyperlink"/>
            <w:rFonts w:ascii="Arial" w:hAnsi="Arial" w:cs="Arial"/>
          </w:rPr>
          <w:t>18.2</w:t>
        </w:r>
        <w:r>
          <w:rPr>
            <w:rFonts w:eastAsiaTheme="minorEastAsia"/>
            <w:kern w:val="2"/>
            <w:sz w:val="24"/>
            <w:szCs w:val="24"/>
            <w14:ligatures w14:val="standardContextual"/>
          </w:rPr>
          <w:tab/>
        </w:r>
        <w:r w:rsidRPr="00837F02">
          <w:rPr>
            <w:rStyle w:val="Hyperlink"/>
            <w:rFonts w:ascii="Arial" w:hAnsi="Arial" w:cs="Arial"/>
          </w:rPr>
          <w:t>Submission of Import and Export Schedules in the EDAM</w:t>
        </w:r>
        <w:r>
          <w:rPr>
            <w:webHidden/>
          </w:rPr>
          <w:tab/>
        </w:r>
        <w:r>
          <w:rPr>
            <w:webHidden/>
          </w:rPr>
          <w:fldChar w:fldCharType="begin"/>
        </w:r>
        <w:r>
          <w:rPr>
            <w:webHidden/>
          </w:rPr>
          <w:instrText xml:space="preserve"> PAGEREF _Toc228963716 \h </w:instrText>
        </w:r>
        <w:r>
          <w:rPr>
            <w:webHidden/>
          </w:rPr>
        </w:r>
        <w:r>
          <w:rPr>
            <w:webHidden/>
          </w:rPr>
          <w:fldChar w:fldCharType="separate"/>
        </w:r>
        <w:r>
          <w:rPr>
            <w:webHidden/>
          </w:rPr>
          <w:t>68</w:t>
        </w:r>
        <w:r>
          <w:rPr>
            <w:webHidden/>
          </w:rPr>
          <w:fldChar w:fldCharType="end"/>
        </w:r>
      </w:hyperlink>
    </w:p>
    <w:p w14:paraId="2E63FF74" w14:textId="4A869F5F" w:rsidR="00E67016" w:rsidRDefault="00E67016">
      <w:pPr>
        <w:pStyle w:val="TOC2"/>
        <w:rPr>
          <w:rFonts w:eastAsiaTheme="minorEastAsia"/>
          <w:kern w:val="2"/>
          <w:sz w:val="24"/>
          <w:szCs w:val="24"/>
          <w14:ligatures w14:val="standardContextual"/>
        </w:rPr>
      </w:pPr>
      <w:hyperlink w:anchor="_Toc228963717" w:history="1">
        <w:r w:rsidRPr="00837F02">
          <w:rPr>
            <w:rStyle w:val="Hyperlink"/>
            <w:rFonts w:ascii="Arial" w:hAnsi="Arial" w:cs="Arial"/>
          </w:rPr>
          <w:t>18.3</w:t>
        </w:r>
        <w:r>
          <w:rPr>
            <w:rFonts w:eastAsiaTheme="minorEastAsia"/>
            <w:kern w:val="2"/>
            <w:sz w:val="24"/>
            <w:szCs w:val="24"/>
            <w14:ligatures w14:val="standardContextual"/>
          </w:rPr>
          <w:tab/>
        </w:r>
        <w:r w:rsidRPr="00837F02">
          <w:rPr>
            <w:rStyle w:val="Hyperlink"/>
            <w:rFonts w:ascii="Arial" w:hAnsi="Arial" w:cs="Arial"/>
          </w:rPr>
          <w:t>Power Balance Constraint Relaxation</w:t>
        </w:r>
        <w:r>
          <w:rPr>
            <w:webHidden/>
          </w:rPr>
          <w:tab/>
        </w:r>
        <w:r>
          <w:rPr>
            <w:webHidden/>
          </w:rPr>
          <w:fldChar w:fldCharType="begin"/>
        </w:r>
        <w:r>
          <w:rPr>
            <w:webHidden/>
          </w:rPr>
          <w:instrText xml:space="preserve"> PAGEREF _Toc228963717 \h </w:instrText>
        </w:r>
        <w:r>
          <w:rPr>
            <w:webHidden/>
          </w:rPr>
        </w:r>
        <w:r>
          <w:rPr>
            <w:webHidden/>
          </w:rPr>
          <w:fldChar w:fldCharType="separate"/>
        </w:r>
        <w:r>
          <w:rPr>
            <w:webHidden/>
          </w:rPr>
          <w:t>74</w:t>
        </w:r>
        <w:r>
          <w:rPr>
            <w:webHidden/>
          </w:rPr>
          <w:fldChar w:fldCharType="end"/>
        </w:r>
      </w:hyperlink>
    </w:p>
    <w:p w14:paraId="4D4BDFA7" w14:textId="01484380" w:rsidR="00E67016" w:rsidRDefault="00E67016">
      <w:pPr>
        <w:pStyle w:val="TOC2"/>
        <w:rPr>
          <w:rFonts w:eastAsiaTheme="minorEastAsia"/>
          <w:kern w:val="2"/>
          <w:sz w:val="24"/>
          <w:szCs w:val="24"/>
          <w14:ligatures w14:val="standardContextual"/>
        </w:rPr>
      </w:pPr>
      <w:hyperlink w:anchor="_Toc228963718" w:history="1">
        <w:r w:rsidRPr="00837F02">
          <w:rPr>
            <w:rStyle w:val="Hyperlink"/>
            <w:rFonts w:ascii="Arial" w:hAnsi="Arial" w:cs="Arial"/>
          </w:rPr>
          <w:t>18.4</w:t>
        </w:r>
        <w:r>
          <w:rPr>
            <w:rFonts w:eastAsiaTheme="minorEastAsia"/>
            <w:kern w:val="2"/>
            <w:sz w:val="24"/>
            <w:szCs w:val="24"/>
            <w14:ligatures w14:val="standardContextual"/>
          </w:rPr>
          <w:tab/>
        </w:r>
        <w:r w:rsidRPr="00837F02">
          <w:rPr>
            <w:rStyle w:val="Hyperlink"/>
            <w:rFonts w:ascii="Arial" w:hAnsi="Arial" w:cs="Arial"/>
          </w:rPr>
          <w:t>Power Balance Constraint Relaxation</w:t>
        </w:r>
        <w:r>
          <w:rPr>
            <w:webHidden/>
          </w:rPr>
          <w:tab/>
        </w:r>
        <w:r>
          <w:rPr>
            <w:webHidden/>
          </w:rPr>
          <w:fldChar w:fldCharType="begin"/>
        </w:r>
        <w:r>
          <w:rPr>
            <w:webHidden/>
          </w:rPr>
          <w:instrText xml:space="preserve"> PAGEREF _Toc228963718 \h </w:instrText>
        </w:r>
        <w:r>
          <w:rPr>
            <w:webHidden/>
          </w:rPr>
        </w:r>
        <w:r>
          <w:rPr>
            <w:webHidden/>
          </w:rPr>
          <w:fldChar w:fldCharType="separate"/>
        </w:r>
        <w:r>
          <w:rPr>
            <w:webHidden/>
          </w:rPr>
          <w:t>76</w:t>
        </w:r>
        <w:r>
          <w:rPr>
            <w:webHidden/>
          </w:rPr>
          <w:fldChar w:fldCharType="end"/>
        </w:r>
      </w:hyperlink>
    </w:p>
    <w:p w14:paraId="72CFF3B0" w14:textId="09ED7A29" w:rsidR="00E67016" w:rsidRDefault="00E67016">
      <w:pPr>
        <w:pStyle w:val="TOC1"/>
        <w:rPr>
          <w:rFonts w:eastAsiaTheme="minorEastAsia" w:cstheme="minorBidi"/>
          <w:b w:val="0"/>
          <w:kern w:val="2"/>
          <w:sz w:val="24"/>
          <w:szCs w:val="24"/>
          <w14:ligatures w14:val="standardContextual"/>
        </w:rPr>
      </w:pPr>
      <w:hyperlink w:anchor="_Toc228963719" w:history="1">
        <w:r w:rsidRPr="00837F02">
          <w:rPr>
            <w:rStyle w:val="Hyperlink"/>
            <w:rFonts w:ascii="Arial" w:hAnsi="Arial"/>
          </w:rPr>
          <w:t>19.</w:t>
        </w:r>
        <w:r>
          <w:rPr>
            <w:rFonts w:eastAsiaTheme="minorEastAsia" w:cstheme="minorBidi"/>
            <w:b w:val="0"/>
            <w:kern w:val="2"/>
            <w:sz w:val="24"/>
            <w:szCs w:val="24"/>
            <w14:ligatures w14:val="standardContextual"/>
          </w:rPr>
          <w:tab/>
        </w:r>
        <w:r w:rsidRPr="00837F02">
          <w:rPr>
            <w:rStyle w:val="Hyperlink"/>
            <w:rFonts w:ascii="Arial" w:hAnsi="Arial"/>
          </w:rPr>
          <w:t>Inter-SC Trades</w:t>
        </w:r>
        <w:r>
          <w:rPr>
            <w:webHidden/>
          </w:rPr>
          <w:tab/>
        </w:r>
        <w:r>
          <w:rPr>
            <w:webHidden/>
          </w:rPr>
          <w:fldChar w:fldCharType="begin"/>
        </w:r>
        <w:r>
          <w:rPr>
            <w:webHidden/>
          </w:rPr>
          <w:instrText xml:space="preserve"> PAGEREF _Toc228963719 \h </w:instrText>
        </w:r>
        <w:r>
          <w:rPr>
            <w:webHidden/>
          </w:rPr>
        </w:r>
        <w:r>
          <w:rPr>
            <w:webHidden/>
          </w:rPr>
          <w:fldChar w:fldCharType="separate"/>
        </w:r>
        <w:r>
          <w:rPr>
            <w:webHidden/>
          </w:rPr>
          <w:t>76</w:t>
        </w:r>
        <w:r>
          <w:rPr>
            <w:webHidden/>
          </w:rPr>
          <w:fldChar w:fldCharType="end"/>
        </w:r>
      </w:hyperlink>
    </w:p>
    <w:p w14:paraId="2EC4A7F7" w14:textId="61ACCEA1" w:rsidR="00E67016" w:rsidRDefault="00E67016">
      <w:pPr>
        <w:pStyle w:val="TOC1"/>
        <w:rPr>
          <w:rFonts w:eastAsiaTheme="minorEastAsia" w:cstheme="minorBidi"/>
          <w:b w:val="0"/>
          <w:kern w:val="2"/>
          <w:sz w:val="24"/>
          <w:szCs w:val="24"/>
          <w14:ligatures w14:val="standardContextual"/>
        </w:rPr>
      </w:pPr>
      <w:hyperlink w:anchor="_Toc228963720" w:history="1">
        <w:r w:rsidRPr="00837F02">
          <w:rPr>
            <w:rStyle w:val="Hyperlink"/>
            <w:rFonts w:ascii="Arial" w:hAnsi="Arial"/>
          </w:rPr>
          <w:t>20.</w:t>
        </w:r>
        <w:r>
          <w:rPr>
            <w:rFonts w:eastAsiaTheme="minorEastAsia" w:cstheme="minorBidi"/>
            <w:b w:val="0"/>
            <w:kern w:val="2"/>
            <w:sz w:val="24"/>
            <w:szCs w:val="24"/>
            <w14:ligatures w14:val="standardContextual"/>
          </w:rPr>
          <w:tab/>
        </w:r>
        <w:r w:rsidRPr="00837F02">
          <w:rPr>
            <w:rStyle w:val="Hyperlink"/>
          </w:rPr>
          <w:t>Bids and Self Schedule Submission</w:t>
        </w:r>
        <w:r>
          <w:rPr>
            <w:webHidden/>
          </w:rPr>
          <w:tab/>
        </w:r>
        <w:r>
          <w:rPr>
            <w:webHidden/>
          </w:rPr>
          <w:fldChar w:fldCharType="begin"/>
        </w:r>
        <w:r>
          <w:rPr>
            <w:webHidden/>
          </w:rPr>
          <w:instrText xml:space="preserve"> PAGEREF _Toc228963720 \h </w:instrText>
        </w:r>
        <w:r>
          <w:rPr>
            <w:webHidden/>
          </w:rPr>
        </w:r>
        <w:r>
          <w:rPr>
            <w:webHidden/>
          </w:rPr>
          <w:fldChar w:fldCharType="separate"/>
        </w:r>
        <w:r>
          <w:rPr>
            <w:webHidden/>
          </w:rPr>
          <w:t>77</w:t>
        </w:r>
        <w:r>
          <w:rPr>
            <w:webHidden/>
          </w:rPr>
          <w:fldChar w:fldCharType="end"/>
        </w:r>
      </w:hyperlink>
    </w:p>
    <w:p w14:paraId="496C807A" w14:textId="6F72C9A1" w:rsidR="00E67016" w:rsidRDefault="00E67016">
      <w:pPr>
        <w:pStyle w:val="TOC2"/>
        <w:rPr>
          <w:rFonts w:eastAsiaTheme="minorEastAsia"/>
          <w:kern w:val="2"/>
          <w:sz w:val="24"/>
          <w:szCs w:val="24"/>
          <w14:ligatures w14:val="standardContextual"/>
        </w:rPr>
      </w:pPr>
      <w:hyperlink w:anchor="_Toc228963721" w:history="1">
        <w:r w:rsidRPr="00837F02">
          <w:rPr>
            <w:rStyle w:val="Hyperlink"/>
          </w:rPr>
          <w:t>20.1</w:t>
        </w:r>
        <w:r>
          <w:rPr>
            <w:rFonts w:eastAsiaTheme="minorEastAsia"/>
            <w:kern w:val="2"/>
            <w:sz w:val="24"/>
            <w:szCs w:val="24"/>
            <w14:ligatures w14:val="standardContextual"/>
          </w:rPr>
          <w:tab/>
        </w:r>
        <w:r w:rsidRPr="00837F02">
          <w:rPr>
            <w:rStyle w:val="Hyperlink"/>
          </w:rPr>
          <w:t>Economic Bids at EDAM Interties</w:t>
        </w:r>
        <w:r>
          <w:rPr>
            <w:webHidden/>
          </w:rPr>
          <w:tab/>
        </w:r>
        <w:r>
          <w:rPr>
            <w:webHidden/>
          </w:rPr>
          <w:fldChar w:fldCharType="begin"/>
        </w:r>
        <w:r>
          <w:rPr>
            <w:webHidden/>
          </w:rPr>
          <w:instrText xml:space="preserve"> PAGEREF _Toc228963721 \h </w:instrText>
        </w:r>
        <w:r>
          <w:rPr>
            <w:webHidden/>
          </w:rPr>
        </w:r>
        <w:r>
          <w:rPr>
            <w:webHidden/>
          </w:rPr>
          <w:fldChar w:fldCharType="separate"/>
        </w:r>
        <w:r>
          <w:rPr>
            <w:webHidden/>
          </w:rPr>
          <w:t>79</w:t>
        </w:r>
        <w:r>
          <w:rPr>
            <w:webHidden/>
          </w:rPr>
          <w:fldChar w:fldCharType="end"/>
        </w:r>
      </w:hyperlink>
    </w:p>
    <w:p w14:paraId="6289A8AD" w14:textId="2CFAB650" w:rsidR="00E67016" w:rsidRDefault="00E67016">
      <w:pPr>
        <w:pStyle w:val="TOC2"/>
        <w:rPr>
          <w:rFonts w:eastAsiaTheme="minorEastAsia"/>
          <w:kern w:val="2"/>
          <w:sz w:val="24"/>
          <w:szCs w:val="24"/>
          <w14:ligatures w14:val="standardContextual"/>
        </w:rPr>
      </w:pPr>
      <w:hyperlink w:anchor="_Toc228963722" w:history="1">
        <w:r w:rsidRPr="00837F02">
          <w:rPr>
            <w:rStyle w:val="Hyperlink"/>
          </w:rPr>
          <w:t>20.2</w:t>
        </w:r>
        <w:r>
          <w:rPr>
            <w:rFonts w:eastAsiaTheme="minorEastAsia"/>
            <w:kern w:val="2"/>
            <w:sz w:val="24"/>
            <w:szCs w:val="24"/>
            <w14:ligatures w14:val="standardContextual"/>
          </w:rPr>
          <w:tab/>
        </w:r>
        <w:r w:rsidRPr="00837F02">
          <w:rPr>
            <w:rStyle w:val="Hyperlink"/>
          </w:rPr>
          <w:t>EDAM Entity Access to Bid Information</w:t>
        </w:r>
        <w:r>
          <w:rPr>
            <w:webHidden/>
          </w:rPr>
          <w:tab/>
        </w:r>
        <w:r>
          <w:rPr>
            <w:webHidden/>
          </w:rPr>
          <w:fldChar w:fldCharType="begin"/>
        </w:r>
        <w:r>
          <w:rPr>
            <w:webHidden/>
          </w:rPr>
          <w:instrText xml:space="preserve"> PAGEREF _Toc228963722 \h </w:instrText>
        </w:r>
        <w:r>
          <w:rPr>
            <w:webHidden/>
          </w:rPr>
        </w:r>
        <w:r>
          <w:rPr>
            <w:webHidden/>
          </w:rPr>
          <w:fldChar w:fldCharType="separate"/>
        </w:r>
        <w:r>
          <w:rPr>
            <w:webHidden/>
          </w:rPr>
          <w:t>79</w:t>
        </w:r>
        <w:r>
          <w:rPr>
            <w:webHidden/>
          </w:rPr>
          <w:fldChar w:fldCharType="end"/>
        </w:r>
      </w:hyperlink>
    </w:p>
    <w:p w14:paraId="5618E550" w14:textId="54DA02FB" w:rsidR="00E67016" w:rsidRDefault="00E67016">
      <w:pPr>
        <w:pStyle w:val="TOC2"/>
        <w:rPr>
          <w:rFonts w:eastAsiaTheme="minorEastAsia"/>
          <w:kern w:val="2"/>
          <w:sz w:val="24"/>
          <w:szCs w:val="24"/>
          <w14:ligatures w14:val="standardContextual"/>
        </w:rPr>
      </w:pPr>
      <w:hyperlink w:anchor="_Toc228963723" w:history="1">
        <w:r w:rsidRPr="00837F02">
          <w:rPr>
            <w:rStyle w:val="Hyperlink"/>
          </w:rPr>
          <w:t>20.3</w:t>
        </w:r>
        <w:r>
          <w:rPr>
            <w:rFonts w:eastAsiaTheme="minorEastAsia"/>
            <w:kern w:val="2"/>
            <w:sz w:val="24"/>
            <w:szCs w:val="24"/>
            <w14:ligatures w14:val="standardContextual"/>
          </w:rPr>
          <w:tab/>
        </w:r>
        <w:r w:rsidRPr="00837F02">
          <w:rPr>
            <w:rStyle w:val="Hyperlink"/>
          </w:rPr>
          <w:t>RUC Availability Bids for Variable Energy Resources</w:t>
        </w:r>
        <w:r>
          <w:rPr>
            <w:webHidden/>
          </w:rPr>
          <w:tab/>
        </w:r>
        <w:r>
          <w:rPr>
            <w:webHidden/>
          </w:rPr>
          <w:fldChar w:fldCharType="begin"/>
        </w:r>
        <w:r>
          <w:rPr>
            <w:webHidden/>
          </w:rPr>
          <w:instrText xml:space="preserve"> PAGEREF _Toc228963723 \h </w:instrText>
        </w:r>
        <w:r>
          <w:rPr>
            <w:webHidden/>
          </w:rPr>
        </w:r>
        <w:r>
          <w:rPr>
            <w:webHidden/>
          </w:rPr>
          <w:fldChar w:fldCharType="separate"/>
        </w:r>
        <w:r>
          <w:rPr>
            <w:webHidden/>
          </w:rPr>
          <w:t>79</w:t>
        </w:r>
        <w:r>
          <w:rPr>
            <w:webHidden/>
          </w:rPr>
          <w:fldChar w:fldCharType="end"/>
        </w:r>
      </w:hyperlink>
    </w:p>
    <w:p w14:paraId="1422208E" w14:textId="096233FC" w:rsidR="00E67016" w:rsidRDefault="00E67016">
      <w:pPr>
        <w:pStyle w:val="TOC2"/>
        <w:rPr>
          <w:rFonts w:eastAsiaTheme="minorEastAsia"/>
          <w:kern w:val="2"/>
          <w:sz w:val="24"/>
          <w:szCs w:val="24"/>
          <w14:ligatures w14:val="standardContextual"/>
        </w:rPr>
      </w:pPr>
      <w:hyperlink w:anchor="_Toc228963724" w:history="1">
        <w:r w:rsidRPr="00837F02">
          <w:rPr>
            <w:rStyle w:val="Hyperlink"/>
          </w:rPr>
          <w:t>20.4</w:t>
        </w:r>
        <w:r>
          <w:rPr>
            <w:rFonts w:eastAsiaTheme="minorEastAsia"/>
            <w:kern w:val="2"/>
            <w:sz w:val="24"/>
            <w:szCs w:val="24"/>
            <w14:ligatures w14:val="standardContextual"/>
          </w:rPr>
          <w:tab/>
        </w:r>
        <w:r w:rsidRPr="00837F02">
          <w:rPr>
            <w:rStyle w:val="Hyperlink"/>
          </w:rPr>
          <w:t>Convergence Bidding</w:t>
        </w:r>
        <w:r>
          <w:rPr>
            <w:webHidden/>
          </w:rPr>
          <w:tab/>
        </w:r>
        <w:r>
          <w:rPr>
            <w:webHidden/>
          </w:rPr>
          <w:fldChar w:fldCharType="begin"/>
        </w:r>
        <w:r>
          <w:rPr>
            <w:webHidden/>
          </w:rPr>
          <w:instrText xml:space="preserve"> PAGEREF _Toc228963724 \h </w:instrText>
        </w:r>
        <w:r>
          <w:rPr>
            <w:webHidden/>
          </w:rPr>
        </w:r>
        <w:r>
          <w:rPr>
            <w:webHidden/>
          </w:rPr>
          <w:fldChar w:fldCharType="separate"/>
        </w:r>
        <w:r>
          <w:rPr>
            <w:webHidden/>
          </w:rPr>
          <w:t>80</w:t>
        </w:r>
        <w:r>
          <w:rPr>
            <w:webHidden/>
          </w:rPr>
          <w:fldChar w:fldCharType="end"/>
        </w:r>
      </w:hyperlink>
    </w:p>
    <w:p w14:paraId="7C47B00A" w14:textId="680138FE" w:rsidR="00E67016" w:rsidRDefault="00E67016">
      <w:pPr>
        <w:pStyle w:val="TOC2"/>
        <w:rPr>
          <w:rFonts w:eastAsiaTheme="minorEastAsia"/>
          <w:kern w:val="2"/>
          <w:sz w:val="24"/>
          <w:szCs w:val="24"/>
          <w14:ligatures w14:val="standardContextual"/>
        </w:rPr>
      </w:pPr>
      <w:hyperlink w:anchor="_Toc228963725" w:history="1">
        <w:r w:rsidRPr="00837F02">
          <w:rPr>
            <w:rStyle w:val="Hyperlink"/>
            <w:rFonts w:ascii="Arial" w:hAnsi="Arial" w:cs="Arial"/>
          </w:rPr>
          <w:t>20.5</w:t>
        </w:r>
        <w:r>
          <w:rPr>
            <w:rFonts w:eastAsiaTheme="minorEastAsia"/>
            <w:kern w:val="2"/>
            <w:sz w:val="24"/>
            <w:szCs w:val="24"/>
            <w14:ligatures w14:val="standardContextual"/>
          </w:rPr>
          <w:tab/>
        </w:r>
        <w:r w:rsidRPr="00837F02">
          <w:rPr>
            <w:rStyle w:val="Hyperlink"/>
            <w:rFonts w:ascii="Arial" w:hAnsi="Arial" w:cs="Arial"/>
          </w:rPr>
          <w:t>Market Run Considerations</w:t>
        </w:r>
        <w:r>
          <w:rPr>
            <w:webHidden/>
          </w:rPr>
          <w:tab/>
        </w:r>
        <w:r>
          <w:rPr>
            <w:webHidden/>
          </w:rPr>
          <w:fldChar w:fldCharType="begin"/>
        </w:r>
        <w:r>
          <w:rPr>
            <w:webHidden/>
          </w:rPr>
          <w:instrText xml:space="preserve"> PAGEREF _Toc228963725 \h </w:instrText>
        </w:r>
        <w:r>
          <w:rPr>
            <w:webHidden/>
          </w:rPr>
        </w:r>
        <w:r>
          <w:rPr>
            <w:webHidden/>
          </w:rPr>
          <w:fldChar w:fldCharType="separate"/>
        </w:r>
        <w:r>
          <w:rPr>
            <w:webHidden/>
          </w:rPr>
          <w:t>81</w:t>
        </w:r>
        <w:r>
          <w:rPr>
            <w:webHidden/>
          </w:rPr>
          <w:fldChar w:fldCharType="end"/>
        </w:r>
      </w:hyperlink>
    </w:p>
    <w:p w14:paraId="65396245" w14:textId="64BE2B81" w:rsidR="00E67016" w:rsidRDefault="00E67016">
      <w:pPr>
        <w:pStyle w:val="TOC2"/>
        <w:rPr>
          <w:rFonts w:eastAsiaTheme="minorEastAsia"/>
          <w:kern w:val="2"/>
          <w:sz w:val="24"/>
          <w:szCs w:val="24"/>
          <w14:ligatures w14:val="standardContextual"/>
        </w:rPr>
      </w:pPr>
      <w:hyperlink w:anchor="_Toc228963726" w:history="1">
        <w:r w:rsidRPr="00837F02">
          <w:rPr>
            <w:rStyle w:val="Hyperlink"/>
          </w:rPr>
          <w:t>20.6</w:t>
        </w:r>
        <w:r>
          <w:rPr>
            <w:rFonts w:eastAsiaTheme="minorEastAsia"/>
            <w:kern w:val="2"/>
            <w:sz w:val="24"/>
            <w:szCs w:val="24"/>
            <w14:ligatures w14:val="standardContextual"/>
          </w:rPr>
          <w:tab/>
        </w:r>
        <w:r w:rsidRPr="00837F02">
          <w:rPr>
            <w:rStyle w:val="Hyperlink"/>
          </w:rPr>
          <w:t>Bids from External Resources</w:t>
        </w:r>
        <w:r>
          <w:rPr>
            <w:webHidden/>
          </w:rPr>
          <w:tab/>
        </w:r>
        <w:r>
          <w:rPr>
            <w:webHidden/>
          </w:rPr>
          <w:fldChar w:fldCharType="begin"/>
        </w:r>
        <w:r>
          <w:rPr>
            <w:webHidden/>
          </w:rPr>
          <w:instrText xml:space="preserve"> PAGEREF _Toc228963726 \h </w:instrText>
        </w:r>
        <w:r>
          <w:rPr>
            <w:webHidden/>
          </w:rPr>
        </w:r>
        <w:r>
          <w:rPr>
            <w:webHidden/>
          </w:rPr>
          <w:fldChar w:fldCharType="separate"/>
        </w:r>
        <w:r>
          <w:rPr>
            <w:webHidden/>
          </w:rPr>
          <w:t>83</w:t>
        </w:r>
        <w:r>
          <w:rPr>
            <w:webHidden/>
          </w:rPr>
          <w:fldChar w:fldCharType="end"/>
        </w:r>
      </w:hyperlink>
    </w:p>
    <w:p w14:paraId="657BEDF8" w14:textId="537004E5" w:rsidR="00E67016" w:rsidRDefault="00E67016">
      <w:pPr>
        <w:pStyle w:val="TOC2"/>
        <w:rPr>
          <w:rFonts w:eastAsiaTheme="minorEastAsia"/>
          <w:kern w:val="2"/>
          <w:sz w:val="24"/>
          <w:szCs w:val="24"/>
          <w14:ligatures w14:val="standardContextual"/>
        </w:rPr>
      </w:pPr>
      <w:hyperlink w:anchor="_Toc228963727" w:history="1">
        <w:r w:rsidRPr="00837F02">
          <w:rPr>
            <w:rStyle w:val="Hyperlink"/>
          </w:rPr>
          <w:t>20.7</w:t>
        </w:r>
        <w:r>
          <w:rPr>
            <w:rFonts w:eastAsiaTheme="minorEastAsia"/>
            <w:kern w:val="2"/>
            <w:sz w:val="24"/>
            <w:szCs w:val="24"/>
            <w14:ligatures w14:val="standardContextual"/>
          </w:rPr>
          <w:tab/>
        </w:r>
        <w:r w:rsidRPr="00837F02">
          <w:rPr>
            <w:rStyle w:val="Hyperlink"/>
          </w:rPr>
          <w:t>Base Schedules Replaced by Day-Ahead Schedules</w:t>
        </w:r>
        <w:r>
          <w:rPr>
            <w:webHidden/>
          </w:rPr>
          <w:tab/>
        </w:r>
        <w:r>
          <w:rPr>
            <w:webHidden/>
          </w:rPr>
          <w:fldChar w:fldCharType="begin"/>
        </w:r>
        <w:r>
          <w:rPr>
            <w:webHidden/>
          </w:rPr>
          <w:instrText xml:space="preserve"> PAGEREF _Toc228963727 \h </w:instrText>
        </w:r>
        <w:r>
          <w:rPr>
            <w:webHidden/>
          </w:rPr>
        </w:r>
        <w:r>
          <w:rPr>
            <w:webHidden/>
          </w:rPr>
          <w:fldChar w:fldCharType="separate"/>
        </w:r>
        <w:r>
          <w:rPr>
            <w:webHidden/>
          </w:rPr>
          <w:t>83</w:t>
        </w:r>
        <w:r>
          <w:rPr>
            <w:webHidden/>
          </w:rPr>
          <w:fldChar w:fldCharType="end"/>
        </w:r>
      </w:hyperlink>
    </w:p>
    <w:p w14:paraId="5E653B6D" w14:textId="2E0F40DB" w:rsidR="00E67016" w:rsidRDefault="00E67016">
      <w:pPr>
        <w:pStyle w:val="TOC2"/>
        <w:rPr>
          <w:rFonts w:eastAsiaTheme="minorEastAsia"/>
          <w:kern w:val="2"/>
          <w:sz w:val="24"/>
          <w:szCs w:val="24"/>
          <w14:ligatures w14:val="standardContextual"/>
        </w:rPr>
      </w:pPr>
      <w:hyperlink w:anchor="_Toc228963728" w:history="1">
        <w:r w:rsidRPr="00837F02">
          <w:rPr>
            <w:rStyle w:val="Hyperlink"/>
          </w:rPr>
          <w:t>20.8</w:t>
        </w:r>
        <w:r>
          <w:rPr>
            <w:rFonts w:eastAsiaTheme="minorEastAsia"/>
            <w:kern w:val="2"/>
            <w:sz w:val="24"/>
            <w:szCs w:val="24"/>
            <w14:ligatures w14:val="standardContextual"/>
          </w:rPr>
          <w:tab/>
        </w:r>
        <w:r w:rsidRPr="00837F02">
          <w:rPr>
            <w:rStyle w:val="Hyperlink"/>
          </w:rPr>
          <w:t>Information Available for Bidding by Gas-Fired Resources</w:t>
        </w:r>
        <w:r>
          <w:rPr>
            <w:webHidden/>
          </w:rPr>
          <w:tab/>
        </w:r>
        <w:r>
          <w:rPr>
            <w:webHidden/>
          </w:rPr>
          <w:fldChar w:fldCharType="begin"/>
        </w:r>
        <w:r>
          <w:rPr>
            <w:webHidden/>
          </w:rPr>
          <w:instrText xml:space="preserve"> PAGEREF _Toc228963728 \h </w:instrText>
        </w:r>
        <w:r>
          <w:rPr>
            <w:webHidden/>
          </w:rPr>
        </w:r>
        <w:r>
          <w:rPr>
            <w:webHidden/>
          </w:rPr>
          <w:fldChar w:fldCharType="separate"/>
        </w:r>
        <w:r>
          <w:rPr>
            <w:webHidden/>
          </w:rPr>
          <w:t>83</w:t>
        </w:r>
        <w:r>
          <w:rPr>
            <w:webHidden/>
          </w:rPr>
          <w:fldChar w:fldCharType="end"/>
        </w:r>
      </w:hyperlink>
    </w:p>
    <w:p w14:paraId="6CA5B9DC" w14:textId="6ADEE14C" w:rsidR="00E67016" w:rsidRDefault="00E67016">
      <w:pPr>
        <w:pStyle w:val="TOC1"/>
        <w:rPr>
          <w:rFonts w:eastAsiaTheme="minorEastAsia" w:cstheme="minorBidi"/>
          <w:b w:val="0"/>
          <w:kern w:val="2"/>
          <w:sz w:val="24"/>
          <w:szCs w:val="24"/>
          <w14:ligatures w14:val="standardContextual"/>
        </w:rPr>
      </w:pPr>
      <w:hyperlink w:anchor="_Toc228963729" w:history="1">
        <w:r w:rsidRPr="00837F02">
          <w:rPr>
            <w:rStyle w:val="Hyperlink"/>
            <w:rFonts w:ascii="Arial" w:hAnsi="Arial"/>
          </w:rPr>
          <w:t>21.</w:t>
        </w:r>
        <w:r>
          <w:rPr>
            <w:rFonts w:eastAsiaTheme="minorEastAsia" w:cstheme="minorBidi"/>
            <w:b w:val="0"/>
            <w:kern w:val="2"/>
            <w:sz w:val="24"/>
            <w:szCs w:val="24"/>
            <w14:ligatures w14:val="standardContextual"/>
          </w:rPr>
          <w:tab/>
        </w:r>
        <w:r w:rsidRPr="00837F02">
          <w:rPr>
            <w:rStyle w:val="Hyperlink"/>
          </w:rPr>
          <w:t>Resource Sufficiency Requirements</w:t>
        </w:r>
        <w:r>
          <w:rPr>
            <w:webHidden/>
          </w:rPr>
          <w:tab/>
        </w:r>
        <w:r>
          <w:rPr>
            <w:webHidden/>
          </w:rPr>
          <w:fldChar w:fldCharType="begin"/>
        </w:r>
        <w:r>
          <w:rPr>
            <w:webHidden/>
          </w:rPr>
          <w:instrText xml:space="preserve"> PAGEREF _Toc228963729 \h </w:instrText>
        </w:r>
        <w:r>
          <w:rPr>
            <w:webHidden/>
          </w:rPr>
        </w:r>
        <w:r>
          <w:rPr>
            <w:webHidden/>
          </w:rPr>
          <w:fldChar w:fldCharType="separate"/>
        </w:r>
        <w:r>
          <w:rPr>
            <w:webHidden/>
          </w:rPr>
          <w:t>84</w:t>
        </w:r>
        <w:r>
          <w:rPr>
            <w:webHidden/>
          </w:rPr>
          <w:fldChar w:fldCharType="end"/>
        </w:r>
      </w:hyperlink>
    </w:p>
    <w:p w14:paraId="2CD81107" w14:textId="6506A69E" w:rsidR="00E67016" w:rsidRDefault="00E67016">
      <w:pPr>
        <w:pStyle w:val="TOC2"/>
        <w:rPr>
          <w:rFonts w:eastAsiaTheme="minorEastAsia"/>
          <w:kern w:val="2"/>
          <w:sz w:val="24"/>
          <w:szCs w:val="24"/>
          <w14:ligatures w14:val="standardContextual"/>
        </w:rPr>
      </w:pPr>
      <w:hyperlink w:anchor="_Toc228963730" w:history="1">
        <w:r w:rsidRPr="00837F02">
          <w:rPr>
            <w:rStyle w:val="Hyperlink"/>
          </w:rPr>
          <w:t>21.1</w:t>
        </w:r>
        <w:r>
          <w:rPr>
            <w:rFonts w:eastAsiaTheme="minorEastAsia"/>
            <w:kern w:val="2"/>
            <w:sz w:val="24"/>
            <w:szCs w:val="24"/>
            <w14:ligatures w14:val="standardContextual"/>
          </w:rPr>
          <w:tab/>
        </w:r>
        <w:r w:rsidRPr="00837F02">
          <w:rPr>
            <w:rStyle w:val="Hyperlink"/>
          </w:rPr>
          <w:t>EDAM Resource Sufficiency Evaluation (EDAM RSE)</w:t>
        </w:r>
        <w:r>
          <w:rPr>
            <w:webHidden/>
          </w:rPr>
          <w:tab/>
        </w:r>
        <w:r>
          <w:rPr>
            <w:webHidden/>
          </w:rPr>
          <w:fldChar w:fldCharType="begin"/>
        </w:r>
        <w:r>
          <w:rPr>
            <w:webHidden/>
          </w:rPr>
          <w:instrText xml:space="preserve"> PAGEREF _Toc228963730 \h </w:instrText>
        </w:r>
        <w:r>
          <w:rPr>
            <w:webHidden/>
          </w:rPr>
        </w:r>
        <w:r>
          <w:rPr>
            <w:webHidden/>
          </w:rPr>
          <w:fldChar w:fldCharType="separate"/>
        </w:r>
        <w:r>
          <w:rPr>
            <w:webHidden/>
          </w:rPr>
          <w:t>84</w:t>
        </w:r>
        <w:r>
          <w:rPr>
            <w:webHidden/>
          </w:rPr>
          <w:fldChar w:fldCharType="end"/>
        </w:r>
      </w:hyperlink>
    </w:p>
    <w:p w14:paraId="781206CA" w14:textId="7D5E3AF3" w:rsidR="00E67016" w:rsidRDefault="00E67016">
      <w:pPr>
        <w:pStyle w:val="TOC1"/>
        <w:rPr>
          <w:rFonts w:eastAsiaTheme="minorEastAsia" w:cstheme="minorBidi"/>
          <w:b w:val="0"/>
          <w:kern w:val="2"/>
          <w:sz w:val="24"/>
          <w:szCs w:val="24"/>
          <w14:ligatures w14:val="standardContextual"/>
        </w:rPr>
      </w:pPr>
      <w:hyperlink w:anchor="_Toc228963731" w:history="1">
        <w:r w:rsidRPr="00837F02">
          <w:rPr>
            <w:rStyle w:val="Hyperlink"/>
            <w:rFonts w:ascii="Arial" w:hAnsi="Arial"/>
          </w:rPr>
          <w:t>22.</w:t>
        </w:r>
        <w:r>
          <w:rPr>
            <w:rFonts w:eastAsiaTheme="minorEastAsia" w:cstheme="minorBidi"/>
            <w:b w:val="0"/>
            <w:kern w:val="2"/>
            <w:sz w:val="24"/>
            <w:szCs w:val="24"/>
            <w14:ligatures w14:val="standardContextual"/>
          </w:rPr>
          <w:tab/>
        </w:r>
        <w:r w:rsidRPr="00837F02">
          <w:rPr>
            <w:rStyle w:val="Hyperlink"/>
            <w:rFonts w:ascii="Arial" w:hAnsi="Arial"/>
          </w:rPr>
          <w:t>Operation of the Day-Ahead Market in the EDAM Area</w:t>
        </w:r>
        <w:r>
          <w:rPr>
            <w:webHidden/>
          </w:rPr>
          <w:tab/>
        </w:r>
        <w:r>
          <w:rPr>
            <w:webHidden/>
          </w:rPr>
          <w:fldChar w:fldCharType="begin"/>
        </w:r>
        <w:r>
          <w:rPr>
            <w:webHidden/>
          </w:rPr>
          <w:instrText xml:space="preserve"> PAGEREF _Toc228963731 \h </w:instrText>
        </w:r>
        <w:r>
          <w:rPr>
            <w:webHidden/>
          </w:rPr>
        </w:r>
        <w:r>
          <w:rPr>
            <w:webHidden/>
          </w:rPr>
          <w:fldChar w:fldCharType="separate"/>
        </w:r>
        <w:r>
          <w:rPr>
            <w:webHidden/>
          </w:rPr>
          <w:t>95</w:t>
        </w:r>
        <w:r>
          <w:rPr>
            <w:webHidden/>
          </w:rPr>
          <w:fldChar w:fldCharType="end"/>
        </w:r>
      </w:hyperlink>
    </w:p>
    <w:p w14:paraId="669B7E00" w14:textId="190F1BAD" w:rsidR="00E67016" w:rsidRDefault="00E67016">
      <w:pPr>
        <w:pStyle w:val="TOC2"/>
        <w:rPr>
          <w:rFonts w:eastAsiaTheme="minorEastAsia"/>
          <w:kern w:val="2"/>
          <w:sz w:val="24"/>
          <w:szCs w:val="24"/>
          <w14:ligatures w14:val="standardContextual"/>
        </w:rPr>
      </w:pPr>
      <w:hyperlink w:anchor="_Toc228963732" w:history="1">
        <w:r w:rsidRPr="00837F02">
          <w:rPr>
            <w:rStyle w:val="Hyperlink"/>
            <w:rFonts w:ascii="Arial" w:hAnsi="Arial" w:cs="Arial"/>
          </w:rPr>
          <w:t>22.1</w:t>
        </w:r>
        <w:r>
          <w:rPr>
            <w:rFonts w:eastAsiaTheme="minorEastAsia"/>
            <w:kern w:val="2"/>
            <w:sz w:val="24"/>
            <w:szCs w:val="24"/>
            <w14:ligatures w14:val="standardContextual"/>
          </w:rPr>
          <w:tab/>
        </w:r>
        <w:r w:rsidRPr="00837F02">
          <w:rPr>
            <w:rStyle w:val="Hyperlink"/>
            <w:rFonts w:ascii="Arial" w:hAnsi="Arial" w:cs="Arial"/>
          </w:rPr>
          <w:t>Integrated Forward Market (IFM) Market Power Mitigation (MPM) in the EDAM Area</w:t>
        </w:r>
        <w:r>
          <w:rPr>
            <w:webHidden/>
          </w:rPr>
          <w:tab/>
        </w:r>
        <w:r>
          <w:rPr>
            <w:webHidden/>
          </w:rPr>
          <w:fldChar w:fldCharType="begin"/>
        </w:r>
        <w:r>
          <w:rPr>
            <w:webHidden/>
          </w:rPr>
          <w:instrText xml:space="preserve"> PAGEREF _Toc228963732 \h </w:instrText>
        </w:r>
        <w:r>
          <w:rPr>
            <w:webHidden/>
          </w:rPr>
        </w:r>
        <w:r>
          <w:rPr>
            <w:webHidden/>
          </w:rPr>
          <w:fldChar w:fldCharType="separate"/>
        </w:r>
        <w:r>
          <w:rPr>
            <w:webHidden/>
          </w:rPr>
          <w:t>95</w:t>
        </w:r>
        <w:r>
          <w:rPr>
            <w:webHidden/>
          </w:rPr>
          <w:fldChar w:fldCharType="end"/>
        </w:r>
      </w:hyperlink>
    </w:p>
    <w:p w14:paraId="763DA156" w14:textId="2D6D2C29" w:rsidR="00E67016" w:rsidRDefault="00E67016">
      <w:pPr>
        <w:pStyle w:val="TOC2"/>
        <w:rPr>
          <w:rFonts w:eastAsiaTheme="minorEastAsia"/>
          <w:kern w:val="2"/>
          <w:sz w:val="24"/>
          <w:szCs w:val="24"/>
          <w14:ligatures w14:val="standardContextual"/>
        </w:rPr>
      </w:pPr>
      <w:hyperlink w:anchor="_Toc228963733" w:history="1">
        <w:r w:rsidRPr="00837F02">
          <w:rPr>
            <w:rStyle w:val="Hyperlink"/>
            <w:rFonts w:ascii="Arial" w:hAnsi="Arial" w:cs="Arial"/>
          </w:rPr>
          <w:t>22.2</w:t>
        </w:r>
        <w:r>
          <w:rPr>
            <w:rFonts w:eastAsiaTheme="minorEastAsia"/>
            <w:kern w:val="2"/>
            <w:sz w:val="24"/>
            <w:szCs w:val="24"/>
            <w14:ligatures w14:val="standardContextual"/>
          </w:rPr>
          <w:tab/>
        </w:r>
        <w:r w:rsidRPr="00837F02">
          <w:rPr>
            <w:rStyle w:val="Hyperlink"/>
            <w:rFonts w:ascii="Arial" w:hAnsi="Arial" w:cs="Arial"/>
          </w:rPr>
          <w:t>IFM in the EDAM Area</w:t>
        </w:r>
        <w:r>
          <w:rPr>
            <w:webHidden/>
          </w:rPr>
          <w:tab/>
        </w:r>
        <w:r>
          <w:rPr>
            <w:webHidden/>
          </w:rPr>
          <w:fldChar w:fldCharType="begin"/>
        </w:r>
        <w:r>
          <w:rPr>
            <w:webHidden/>
          </w:rPr>
          <w:instrText xml:space="preserve"> PAGEREF _Toc228963733 \h </w:instrText>
        </w:r>
        <w:r>
          <w:rPr>
            <w:webHidden/>
          </w:rPr>
        </w:r>
        <w:r>
          <w:rPr>
            <w:webHidden/>
          </w:rPr>
          <w:fldChar w:fldCharType="separate"/>
        </w:r>
        <w:r>
          <w:rPr>
            <w:webHidden/>
          </w:rPr>
          <w:t>97</w:t>
        </w:r>
        <w:r>
          <w:rPr>
            <w:webHidden/>
          </w:rPr>
          <w:fldChar w:fldCharType="end"/>
        </w:r>
      </w:hyperlink>
    </w:p>
    <w:p w14:paraId="35634A31" w14:textId="59C61DAD" w:rsidR="00E67016" w:rsidRDefault="00E67016">
      <w:pPr>
        <w:pStyle w:val="TOC2"/>
        <w:rPr>
          <w:rFonts w:eastAsiaTheme="minorEastAsia"/>
          <w:kern w:val="2"/>
          <w:sz w:val="24"/>
          <w:szCs w:val="24"/>
          <w14:ligatures w14:val="standardContextual"/>
        </w:rPr>
      </w:pPr>
      <w:hyperlink w:anchor="_Toc228963734" w:history="1">
        <w:r w:rsidRPr="00837F02">
          <w:rPr>
            <w:rStyle w:val="Hyperlink"/>
            <w:rFonts w:ascii="Arial" w:hAnsi="Arial" w:cs="Arial"/>
          </w:rPr>
          <w:t>22.3</w:t>
        </w:r>
        <w:r>
          <w:rPr>
            <w:rFonts w:eastAsiaTheme="minorEastAsia"/>
            <w:kern w:val="2"/>
            <w:sz w:val="24"/>
            <w:szCs w:val="24"/>
            <w14:ligatures w14:val="standardContextual"/>
          </w:rPr>
          <w:tab/>
        </w:r>
        <w:r w:rsidRPr="00837F02">
          <w:rPr>
            <w:rStyle w:val="Hyperlink"/>
            <w:rFonts w:ascii="Arial" w:hAnsi="Arial" w:cs="Arial"/>
          </w:rPr>
          <w:t>Residual Unit Commitment (RUC) MPM in the EDAM Area</w:t>
        </w:r>
        <w:r>
          <w:rPr>
            <w:webHidden/>
          </w:rPr>
          <w:tab/>
        </w:r>
        <w:r>
          <w:rPr>
            <w:webHidden/>
          </w:rPr>
          <w:fldChar w:fldCharType="begin"/>
        </w:r>
        <w:r>
          <w:rPr>
            <w:webHidden/>
          </w:rPr>
          <w:instrText xml:space="preserve"> PAGEREF _Toc228963734 \h </w:instrText>
        </w:r>
        <w:r>
          <w:rPr>
            <w:webHidden/>
          </w:rPr>
        </w:r>
        <w:r>
          <w:rPr>
            <w:webHidden/>
          </w:rPr>
          <w:fldChar w:fldCharType="separate"/>
        </w:r>
        <w:r>
          <w:rPr>
            <w:webHidden/>
          </w:rPr>
          <w:t>99</w:t>
        </w:r>
        <w:r>
          <w:rPr>
            <w:webHidden/>
          </w:rPr>
          <w:fldChar w:fldCharType="end"/>
        </w:r>
      </w:hyperlink>
    </w:p>
    <w:p w14:paraId="3D220DA5" w14:textId="1EBECBC8" w:rsidR="00E67016" w:rsidRDefault="00E67016">
      <w:pPr>
        <w:pStyle w:val="TOC2"/>
        <w:rPr>
          <w:rFonts w:eastAsiaTheme="minorEastAsia"/>
          <w:kern w:val="2"/>
          <w:sz w:val="24"/>
          <w:szCs w:val="24"/>
          <w14:ligatures w14:val="standardContextual"/>
        </w:rPr>
      </w:pPr>
      <w:hyperlink w:anchor="_Toc228963735" w:history="1">
        <w:r w:rsidRPr="00837F02">
          <w:rPr>
            <w:rStyle w:val="Hyperlink"/>
            <w:rFonts w:ascii="Arial" w:hAnsi="Arial" w:cs="Arial"/>
          </w:rPr>
          <w:t>22.4</w:t>
        </w:r>
        <w:r>
          <w:rPr>
            <w:rFonts w:eastAsiaTheme="minorEastAsia"/>
            <w:kern w:val="2"/>
            <w:sz w:val="24"/>
            <w:szCs w:val="24"/>
            <w14:ligatures w14:val="standardContextual"/>
          </w:rPr>
          <w:tab/>
        </w:r>
        <w:r w:rsidRPr="00837F02">
          <w:rPr>
            <w:rStyle w:val="Hyperlink"/>
            <w:rFonts w:ascii="Arial" w:hAnsi="Arial" w:cs="Arial"/>
          </w:rPr>
          <w:t>RUC in the EDAM Area</w:t>
        </w:r>
        <w:r>
          <w:rPr>
            <w:webHidden/>
          </w:rPr>
          <w:tab/>
        </w:r>
        <w:r>
          <w:rPr>
            <w:webHidden/>
          </w:rPr>
          <w:fldChar w:fldCharType="begin"/>
        </w:r>
        <w:r>
          <w:rPr>
            <w:webHidden/>
          </w:rPr>
          <w:instrText xml:space="preserve"> PAGEREF _Toc228963735 \h </w:instrText>
        </w:r>
        <w:r>
          <w:rPr>
            <w:webHidden/>
          </w:rPr>
        </w:r>
        <w:r>
          <w:rPr>
            <w:webHidden/>
          </w:rPr>
          <w:fldChar w:fldCharType="separate"/>
        </w:r>
        <w:r>
          <w:rPr>
            <w:webHidden/>
          </w:rPr>
          <w:t>99</w:t>
        </w:r>
        <w:r>
          <w:rPr>
            <w:webHidden/>
          </w:rPr>
          <w:fldChar w:fldCharType="end"/>
        </w:r>
      </w:hyperlink>
    </w:p>
    <w:p w14:paraId="5E725698" w14:textId="45DD70F8" w:rsidR="00E67016" w:rsidRDefault="00E67016">
      <w:pPr>
        <w:pStyle w:val="TOC2"/>
        <w:rPr>
          <w:rFonts w:eastAsiaTheme="minorEastAsia"/>
          <w:kern w:val="2"/>
          <w:sz w:val="24"/>
          <w:szCs w:val="24"/>
          <w14:ligatures w14:val="standardContextual"/>
        </w:rPr>
      </w:pPr>
      <w:hyperlink w:anchor="_Toc228963736" w:history="1">
        <w:r w:rsidRPr="00837F02">
          <w:rPr>
            <w:rStyle w:val="Hyperlink"/>
            <w:rFonts w:ascii="Arial" w:hAnsi="Arial" w:cs="Arial"/>
          </w:rPr>
          <w:t>22.5</w:t>
        </w:r>
        <w:r>
          <w:rPr>
            <w:rFonts w:eastAsiaTheme="minorEastAsia"/>
            <w:kern w:val="2"/>
            <w:sz w:val="24"/>
            <w:szCs w:val="24"/>
            <w14:ligatures w14:val="standardContextual"/>
          </w:rPr>
          <w:tab/>
        </w:r>
        <w:r w:rsidRPr="00837F02">
          <w:rPr>
            <w:rStyle w:val="Hyperlink"/>
            <w:rFonts w:ascii="Arial" w:hAnsi="Arial" w:cs="Arial"/>
          </w:rPr>
          <w:t>Net Export EDAM Transfer Constraint</w:t>
        </w:r>
        <w:r>
          <w:rPr>
            <w:webHidden/>
          </w:rPr>
          <w:tab/>
        </w:r>
        <w:r>
          <w:rPr>
            <w:webHidden/>
          </w:rPr>
          <w:fldChar w:fldCharType="begin"/>
        </w:r>
        <w:r>
          <w:rPr>
            <w:webHidden/>
          </w:rPr>
          <w:instrText xml:space="preserve"> PAGEREF _Toc228963736 \h </w:instrText>
        </w:r>
        <w:r>
          <w:rPr>
            <w:webHidden/>
          </w:rPr>
        </w:r>
        <w:r>
          <w:rPr>
            <w:webHidden/>
          </w:rPr>
          <w:fldChar w:fldCharType="separate"/>
        </w:r>
        <w:r>
          <w:rPr>
            <w:webHidden/>
          </w:rPr>
          <w:t>101</w:t>
        </w:r>
        <w:r>
          <w:rPr>
            <w:webHidden/>
          </w:rPr>
          <w:fldChar w:fldCharType="end"/>
        </w:r>
      </w:hyperlink>
    </w:p>
    <w:p w14:paraId="6370F562" w14:textId="4F6628FA" w:rsidR="00E67016" w:rsidRDefault="00E67016">
      <w:pPr>
        <w:pStyle w:val="TOC2"/>
        <w:rPr>
          <w:rFonts w:eastAsiaTheme="minorEastAsia"/>
          <w:kern w:val="2"/>
          <w:sz w:val="24"/>
          <w:szCs w:val="24"/>
          <w14:ligatures w14:val="standardContextual"/>
        </w:rPr>
      </w:pPr>
      <w:hyperlink w:anchor="_Toc228963737" w:history="1">
        <w:r w:rsidRPr="00837F02">
          <w:rPr>
            <w:rStyle w:val="Hyperlink"/>
            <w:rFonts w:ascii="Arial" w:hAnsi="Arial" w:cs="Arial"/>
          </w:rPr>
          <w:t>22.6</w:t>
        </w:r>
        <w:r>
          <w:rPr>
            <w:rFonts w:eastAsiaTheme="minorEastAsia"/>
            <w:kern w:val="2"/>
            <w:sz w:val="24"/>
            <w:szCs w:val="24"/>
            <w14:ligatures w14:val="standardContextual"/>
          </w:rPr>
          <w:tab/>
        </w:r>
        <w:r w:rsidRPr="00837F02">
          <w:rPr>
            <w:rStyle w:val="Hyperlink"/>
            <w:rFonts w:ascii="Arial" w:hAnsi="Arial" w:cs="Arial"/>
          </w:rPr>
          <w:t xml:space="preserve">CAISO Forecast of BAA </w:t>
        </w:r>
        <w:r w:rsidRPr="00837F02">
          <w:rPr>
            <w:rStyle w:val="Hyperlink"/>
            <w:rFonts w:ascii="Arial" w:hAnsi="Arial" w:cs="Arial"/>
          </w:rPr>
          <w:t>D</w:t>
        </w:r>
        <w:r w:rsidRPr="00837F02">
          <w:rPr>
            <w:rStyle w:val="Hyperlink"/>
            <w:rFonts w:ascii="Arial" w:hAnsi="Arial" w:cs="Arial"/>
          </w:rPr>
          <w:t>em</w:t>
        </w:r>
        <w:r w:rsidRPr="00837F02">
          <w:rPr>
            <w:rStyle w:val="Hyperlink"/>
            <w:rFonts w:ascii="Arial" w:hAnsi="Arial" w:cs="Arial"/>
          </w:rPr>
          <w:t>a</w:t>
        </w:r>
        <w:r w:rsidRPr="00837F02">
          <w:rPr>
            <w:rStyle w:val="Hyperlink"/>
            <w:rFonts w:ascii="Arial" w:hAnsi="Arial" w:cs="Arial"/>
          </w:rPr>
          <w:t>nd and Variable Energy Resource Forecast for EDAM Entities</w:t>
        </w:r>
        <w:r>
          <w:rPr>
            <w:webHidden/>
          </w:rPr>
          <w:tab/>
        </w:r>
        <w:r>
          <w:rPr>
            <w:webHidden/>
          </w:rPr>
          <w:fldChar w:fldCharType="begin"/>
        </w:r>
        <w:r>
          <w:rPr>
            <w:webHidden/>
          </w:rPr>
          <w:instrText xml:space="preserve"> PAGEREF _Toc228963737 \h </w:instrText>
        </w:r>
        <w:r>
          <w:rPr>
            <w:webHidden/>
          </w:rPr>
        </w:r>
        <w:r>
          <w:rPr>
            <w:webHidden/>
          </w:rPr>
          <w:fldChar w:fldCharType="separate"/>
        </w:r>
        <w:r>
          <w:rPr>
            <w:webHidden/>
          </w:rPr>
          <w:t>104</w:t>
        </w:r>
        <w:r>
          <w:rPr>
            <w:webHidden/>
          </w:rPr>
          <w:fldChar w:fldCharType="end"/>
        </w:r>
      </w:hyperlink>
    </w:p>
    <w:p w14:paraId="7F82AD94" w14:textId="1240B815" w:rsidR="00E67016" w:rsidRDefault="00E67016">
      <w:pPr>
        <w:pStyle w:val="TOC2"/>
        <w:rPr>
          <w:rFonts w:eastAsiaTheme="minorEastAsia"/>
          <w:kern w:val="2"/>
          <w:sz w:val="24"/>
          <w:szCs w:val="24"/>
          <w14:ligatures w14:val="standardContextual"/>
        </w:rPr>
      </w:pPr>
      <w:hyperlink w:anchor="_Toc228963738" w:history="1">
        <w:r w:rsidRPr="00837F02">
          <w:rPr>
            <w:rStyle w:val="Hyperlink"/>
            <w:rFonts w:ascii="Arial" w:hAnsi="Arial" w:cs="Arial"/>
          </w:rPr>
          <w:t>22.7</w:t>
        </w:r>
        <w:r>
          <w:rPr>
            <w:rFonts w:eastAsiaTheme="minorEastAsia"/>
            <w:kern w:val="2"/>
            <w:sz w:val="24"/>
            <w:szCs w:val="24"/>
            <w14:ligatures w14:val="standardContextual"/>
          </w:rPr>
          <w:tab/>
        </w:r>
        <w:r w:rsidRPr="00837F02">
          <w:rPr>
            <w:rStyle w:val="Hyperlink"/>
            <w:rFonts w:ascii="Arial" w:hAnsi="Arial" w:cs="Arial"/>
          </w:rPr>
          <w:t>Reserve Sharing Groups</w:t>
        </w:r>
        <w:r>
          <w:rPr>
            <w:webHidden/>
          </w:rPr>
          <w:tab/>
        </w:r>
        <w:r>
          <w:rPr>
            <w:webHidden/>
          </w:rPr>
          <w:fldChar w:fldCharType="begin"/>
        </w:r>
        <w:r>
          <w:rPr>
            <w:webHidden/>
          </w:rPr>
          <w:instrText xml:space="preserve"> PAGEREF _Toc228963738 \h </w:instrText>
        </w:r>
        <w:r>
          <w:rPr>
            <w:webHidden/>
          </w:rPr>
        </w:r>
        <w:r>
          <w:rPr>
            <w:webHidden/>
          </w:rPr>
          <w:fldChar w:fldCharType="separate"/>
        </w:r>
        <w:r>
          <w:rPr>
            <w:webHidden/>
          </w:rPr>
          <w:t>106</w:t>
        </w:r>
        <w:r>
          <w:rPr>
            <w:webHidden/>
          </w:rPr>
          <w:fldChar w:fldCharType="end"/>
        </w:r>
      </w:hyperlink>
    </w:p>
    <w:p w14:paraId="534A0611" w14:textId="303818E5" w:rsidR="00E67016" w:rsidRDefault="00E67016">
      <w:pPr>
        <w:pStyle w:val="TOC2"/>
        <w:rPr>
          <w:rFonts w:eastAsiaTheme="minorEastAsia"/>
          <w:kern w:val="2"/>
          <w:sz w:val="24"/>
          <w:szCs w:val="24"/>
          <w14:ligatures w14:val="standardContextual"/>
        </w:rPr>
      </w:pPr>
      <w:hyperlink w:anchor="_Toc228963739" w:history="1">
        <w:r w:rsidRPr="00837F02">
          <w:rPr>
            <w:rStyle w:val="Hyperlink"/>
            <w:rFonts w:ascii="Arial" w:hAnsi="Arial" w:cs="Arial"/>
          </w:rPr>
          <w:t>22.8</w:t>
        </w:r>
        <w:r>
          <w:rPr>
            <w:rFonts w:eastAsiaTheme="minorEastAsia"/>
            <w:kern w:val="2"/>
            <w:sz w:val="24"/>
            <w:szCs w:val="24"/>
            <w14:ligatures w14:val="standardContextual"/>
          </w:rPr>
          <w:tab/>
        </w:r>
        <w:r w:rsidRPr="00837F02">
          <w:rPr>
            <w:rStyle w:val="Hyperlink"/>
            <w:rFonts w:ascii="Arial" w:hAnsi="Arial" w:cs="Arial"/>
          </w:rPr>
          <w:t>Interchange Schedules</w:t>
        </w:r>
        <w:r>
          <w:rPr>
            <w:webHidden/>
          </w:rPr>
          <w:tab/>
        </w:r>
        <w:r>
          <w:rPr>
            <w:webHidden/>
          </w:rPr>
          <w:fldChar w:fldCharType="begin"/>
        </w:r>
        <w:r>
          <w:rPr>
            <w:webHidden/>
          </w:rPr>
          <w:instrText xml:space="preserve"> PAGEREF _Toc228963739 \h </w:instrText>
        </w:r>
        <w:r>
          <w:rPr>
            <w:webHidden/>
          </w:rPr>
        </w:r>
        <w:r>
          <w:rPr>
            <w:webHidden/>
          </w:rPr>
          <w:fldChar w:fldCharType="separate"/>
        </w:r>
        <w:r>
          <w:rPr>
            <w:webHidden/>
          </w:rPr>
          <w:t>106</w:t>
        </w:r>
        <w:r>
          <w:rPr>
            <w:webHidden/>
          </w:rPr>
          <w:fldChar w:fldCharType="end"/>
        </w:r>
      </w:hyperlink>
    </w:p>
    <w:p w14:paraId="59D7AB64" w14:textId="25C364B5" w:rsidR="00E67016" w:rsidRDefault="00E67016">
      <w:pPr>
        <w:pStyle w:val="TOC1"/>
        <w:rPr>
          <w:rFonts w:eastAsiaTheme="minorEastAsia" w:cstheme="minorBidi"/>
          <w:b w:val="0"/>
          <w:kern w:val="2"/>
          <w:sz w:val="24"/>
          <w:szCs w:val="24"/>
          <w14:ligatures w14:val="standardContextual"/>
        </w:rPr>
      </w:pPr>
      <w:hyperlink w:anchor="_Toc228963740" w:history="1">
        <w:r w:rsidRPr="00837F02">
          <w:rPr>
            <w:rStyle w:val="Hyperlink"/>
            <w:rFonts w:ascii="Arial" w:hAnsi="Arial"/>
          </w:rPr>
          <w:t>23.</w:t>
        </w:r>
        <w:r>
          <w:rPr>
            <w:rFonts w:eastAsiaTheme="minorEastAsia" w:cstheme="minorBidi"/>
            <w:b w:val="0"/>
            <w:kern w:val="2"/>
            <w:sz w:val="24"/>
            <w:szCs w:val="24"/>
            <w14:ligatures w14:val="standardContextual"/>
          </w:rPr>
          <w:tab/>
        </w:r>
        <w:r w:rsidRPr="00837F02">
          <w:rPr>
            <w:rStyle w:val="Hyperlink"/>
            <w:rFonts w:ascii="Arial" w:hAnsi="Arial"/>
          </w:rPr>
          <w:t>Greenhouse Gas (GHG) Accounting</w:t>
        </w:r>
        <w:r>
          <w:rPr>
            <w:webHidden/>
          </w:rPr>
          <w:tab/>
        </w:r>
        <w:r>
          <w:rPr>
            <w:webHidden/>
          </w:rPr>
          <w:fldChar w:fldCharType="begin"/>
        </w:r>
        <w:r>
          <w:rPr>
            <w:webHidden/>
          </w:rPr>
          <w:instrText xml:space="preserve"> PAGEREF _Toc228963740 \h </w:instrText>
        </w:r>
        <w:r>
          <w:rPr>
            <w:webHidden/>
          </w:rPr>
        </w:r>
        <w:r>
          <w:rPr>
            <w:webHidden/>
          </w:rPr>
          <w:fldChar w:fldCharType="separate"/>
        </w:r>
        <w:r>
          <w:rPr>
            <w:webHidden/>
          </w:rPr>
          <w:t>107</w:t>
        </w:r>
        <w:r>
          <w:rPr>
            <w:webHidden/>
          </w:rPr>
          <w:fldChar w:fldCharType="end"/>
        </w:r>
      </w:hyperlink>
    </w:p>
    <w:p w14:paraId="41D706C7" w14:textId="65F74A46" w:rsidR="00E67016" w:rsidRDefault="00E67016">
      <w:pPr>
        <w:pStyle w:val="TOC2"/>
        <w:rPr>
          <w:rFonts w:eastAsiaTheme="minorEastAsia"/>
          <w:kern w:val="2"/>
          <w:sz w:val="24"/>
          <w:szCs w:val="24"/>
          <w14:ligatures w14:val="standardContextual"/>
        </w:rPr>
      </w:pPr>
      <w:hyperlink w:anchor="_Toc228963741" w:history="1">
        <w:r w:rsidRPr="00837F02">
          <w:rPr>
            <w:rStyle w:val="Hyperlink"/>
            <w:rFonts w:ascii="Arial" w:hAnsi="Arial" w:cs="Arial"/>
          </w:rPr>
          <w:t>23.1</w:t>
        </w:r>
        <w:r>
          <w:rPr>
            <w:rFonts w:eastAsiaTheme="minorEastAsia"/>
            <w:kern w:val="2"/>
            <w:sz w:val="24"/>
            <w:szCs w:val="24"/>
            <w14:ligatures w14:val="standardContextual"/>
          </w:rPr>
          <w:tab/>
        </w:r>
        <w:r w:rsidRPr="00837F02">
          <w:rPr>
            <w:rStyle w:val="Hyperlink"/>
            <w:rFonts w:ascii="Arial" w:hAnsi="Arial" w:cs="Arial"/>
          </w:rPr>
          <w:t>Accounting for Greenhouse Gas Regulations in EDAM</w:t>
        </w:r>
        <w:r>
          <w:rPr>
            <w:webHidden/>
          </w:rPr>
          <w:tab/>
        </w:r>
        <w:r>
          <w:rPr>
            <w:webHidden/>
          </w:rPr>
          <w:fldChar w:fldCharType="begin"/>
        </w:r>
        <w:r>
          <w:rPr>
            <w:webHidden/>
          </w:rPr>
          <w:instrText xml:space="preserve"> PAGEREF _Toc228963741 \h </w:instrText>
        </w:r>
        <w:r>
          <w:rPr>
            <w:webHidden/>
          </w:rPr>
        </w:r>
        <w:r>
          <w:rPr>
            <w:webHidden/>
          </w:rPr>
          <w:fldChar w:fldCharType="separate"/>
        </w:r>
        <w:r>
          <w:rPr>
            <w:webHidden/>
          </w:rPr>
          <w:t>107</w:t>
        </w:r>
        <w:r>
          <w:rPr>
            <w:webHidden/>
          </w:rPr>
          <w:fldChar w:fldCharType="end"/>
        </w:r>
      </w:hyperlink>
    </w:p>
    <w:p w14:paraId="712BC5E6" w14:textId="4503E72A" w:rsidR="00E67016" w:rsidRDefault="00E67016">
      <w:pPr>
        <w:pStyle w:val="TOC2"/>
        <w:rPr>
          <w:rFonts w:eastAsiaTheme="minorEastAsia"/>
          <w:kern w:val="2"/>
          <w:sz w:val="24"/>
          <w:szCs w:val="24"/>
          <w14:ligatures w14:val="standardContextual"/>
        </w:rPr>
      </w:pPr>
      <w:hyperlink w:anchor="_Toc228963742" w:history="1">
        <w:r w:rsidRPr="00837F02">
          <w:rPr>
            <w:rStyle w:val="Hyperlink"/>
            <w:rFonts w:ascii="Arial" w:hAnsi="Arial" w:cs="Arial"/>
          </w:rPr>
          <w:t>23.2</w:t>
        </w:r>
        <w:r>
          <w:rPr>
            <w:rFonts w:eastAsiaTheme="minorEastAsia"/>
            <w:kern w:val="2"/>
            <w:sz w:val="24"/>
            <w:szCs w:val="24"/>
            <w14:ligatures w14:val="standardContextual"/>
          </w:rPr>
          <w:tab/>
        </w:r>
        <w:r w:rsidRPr="00837F02">
          <w:rPr>
            <w:rStyle w:val="Hyperlink"/>
            <w:rFonts w:ascii="Arial" w:hAnsi="Arial" w:cs="Arial"/>
          </w:rPr>
          <w:t>GHG Accounting Market Design</w:t>
        </w:r>
        <w:r>
          <w:rPr>
            <w:webHidden/>
          </w:rPr>
          <w:tab/>
        </w:r>
        <w:r>
          <w:rPr>
            <w:webHidden/>
          </w:rPr>
          <w:fldChar w:fldCharType="begin"/>
        </w:r>
        <w:r>
          <w:rPr>
            <w:webHidden/>
          </w:rPr>
          <w:instrText xml:space="preserve"> PAGEREF _Toc228963742 \h </w:instrText>
        </w:r>
        <w:r>
          <w:rPr>
            <w:webHidden/>
          </w:rPr>
        </w:r>
        <w:r>
          <w:rPr>
            <w:webHidden/>
          </w:rPr>
          <w:fldChar w:fldCharType="separate"/>
        </w:r>
        <w:r>
          <w:rPr>
            <w:webHidden/>
          </w:rPr>
          <w:t>109</w:t>
        </w:r>
        <w:r>
          <w:rPr>
            <w:webHidden/>
          </w:rPr>
          <w:fldChar w:fldCharType="end"/>
        </w:r>
      </w:hyperlink>
    </w:p>
    <w:p w14:paraId="3753FEF1" w14:textId="31247784" w:rsidR="00E67016" w:rsidRDefault="00E67016">
      <w:pPr>
        <w:pStyle w:val="TOC2"/>
        <w:rPr>
          <w:rFonts w:eastAsiaTheme="minorEastAsia"/>
          <w:kern w:val="2"/>
          <w:sz w:val="24"/>
          <w:szCs w:val="24"/>
          <w14:ligatures w14:val="standardContextual"/>
        </w:rPr>
      </w:pPr>
      <w:hyperlink w:anchor="_Toc228963743" w:history="1">
        <w:r w:rsidRPr="00837F02">
          <w:rPr>
            <w:rStyle w:val="Hyperlink"/>
            <w:rFonts w:ascii="Arial" w:hAnsi="Arial" w:cs="Arial"/>
          </w:rPr>
          <w:t>23.3</w:t>
        </w:r>
        <w:r>
          <w:rPr>
            <w:rFonts w:eastAsiaTheme="minorEastAsia"/>
            <w:kern w:val="2"/>
            <w:sz w:val="24"/>
            <w:szCs w:val="24"/>
            <w14:ligatures w14:val="standardContextual"/>
          </w:rPr>
          <w:tab/>
        </w:r>
        <w:r w:rsidRPr="00837F02">
          <w:rPr>
            <w:rStyle w:val="Hyperlink"/>
            <w:rFonts w:ascii="Arial" w:hAnsi="Arial" w:cs="Arial"/>
          </w:rPr>
          <w:t>Consideration of Eligible GHG Capacity in Market Clearing</w:t>
        </w:r>
        <w:r>
          <w:rPr>
            <w:webHidden/>
          </w:rPr>
          <w:tab/>
        </w:r>
        <w:r>
          <w:rPr>
            <w:webHidden/>
          </w:rPr>
          <w:fldChar w:fldCharType="begin"/>
        </w:r>
        <w:r>
          <w:rPr>
            <w:webHidden/>
          </w:rPr>
          <w:instrText xml:space="preserve"> PAGEREF _Toc228963743 \h </w:instrText>
        </w:r>
        <w:r>
          <w:rPr>
            <w:webHidden/>
          </w:rPr>
        </w:r>
        <w:r>
          <w:rPr>
            <w:webHidden/>
          </w:rPr>
          <w:fldChar w:fldCharType="separate"/>
        </w:r>
        <w:r>
          <w:rPr>
            <w:webHidden/>
          </w:rPr>
          <w:t>113</w:t>
        </w:r>
        <w:r>
          <w:rPr>
            <w:webHidden/>
          </w:rPr>
          <w:fldChar w:fldCharType="end"/>
        </w:r>
      </w:hyperlink>
    </w:p>
    <w:p w14:paraId="2C683D17" w14:textId="17CCF068" w:rsidR="00E67016" w:rsidRDefault="00E67016">
      <w:pPr>
        <w:pStyle w:val="TOC2"/>
        <w:rPr>
          <w:rFonts w:eastAsiaTheme="minorEastAsia"/>
          <w:kern w:val="2"/>
          <w:sz w:val="24"/>
          <w:szCs w:val="24"/>
          <w14:ligatures w14:val="standardContextual"/>
        </w:rPr>
      </w:pPr>
      <w:hyperlink w:anchor="_Toc228963744" w:history="1">
        <w:r w:rsidRPr="00837F02">
          <w:rPr>
            <w:rStyle w:val="Hyperlink"/>
            <w:rFonts w:ascii="Arial" w:hAnsi="Arial" w:cs="Arial"/>
          </w:rPr>
          <w:t>23.4</w:t>
        </w:r>
        <w:r>
          <w:rPr>
            <w:rFonts w:eastAsiaTheme="minorEastAsia"/>
            <w:kern w:val="2"/>
            <w:sz w:val="24"/>
            <w:szCs w:val="24"/>
            <w14:ligatures w14:val="standardContextual"/>
          </w:rPr>
          <w:tab/>
        </w:r>
        <w:r w:rsidRPr="00837F02">
          <w:rPr>
            <w:rStyle w:val="Hyperlink"/>
            <w:rFonts w:ascii="Arial" w:hAnsi="Arial" w:cs="Arial"/>
          </w:rPr>
          <w:t>GHG Attribution in the IFM (tariff sections 33.32.3, 33.32.4)</w:t>
        </w:r>
        <w:r>
          <w:rPr>
            <w:webHidden/>
          </w:rPr>
          <w:tab/>
        </w:r>
        <w:r>
          <w:rPr>
            <w:webHidden/>
          </w:rPr>
          <w:fldChar w:fldCharType="begin"/>
        </w:r>
        <w:r>
          <w:rPr>
            <w:webHidden/>
          </w:rPr>
          <w:instrText xml:space="preserve"> PAGEREF _Toc228963744 \h </w:instrText>
        </w:r>
        <w:r>
          <w:rPr>
            <w:webHidden/>
          </w:rPr>
        </w:r>
        <w:r>
          <w:rPr>
            <w:webHidden/>
          </w:rPr>
          <w:fldChar w:fldCharType="separate"/>
        </w:r>
        <w:r>
          <w:rPr>
            <w:webHidden/>
          </w:rPr>
          <w:t>118</w:t>
        </w:r>
        <w:r>
          <w:rPr>
            <w:webHidden/>
          </w:rPr>
          <w:fldChar w:fldCharType="end"/>
        </w:r>
      </w:hyperlink>
    </w:p>
    <w:p w14:paraId="35FC7785" w14:textId="3315389E" w:rsidR="00E67016" w:rsidRDefault="00E67016">
      <w:pPr>
        <w:pStyle w:val="TOC2"/>
        <w:rPr>
          <w:rFonts w:eastAsiaTheme="minorEastAsia"/>
          <w:kern w:val="2"/>
          <w:sz w:val="24"/>
          <w:szCs w:val="24"/>
          <w14:ligatures w14:val="standardContextual"/>
        </w:rPr>
      </w:pPr>
      <w:hyperlink w:anchor="_Toc228963745" w:history="1">
        <w:r w:rsidRPr="00837F02">
          <w:rPr>
            <w:rStyle w:val="Hyperlink"/>
            <w:rFonts w:ascii="Arial" w:hAnsi="Arial" w:cs="Arial"/>
          </w:rPr>
          <w:t>23.5</w:t>
        </w:r>
        <w:r>
          <w:rPr>
            <w:rFonts w:eastAsiaTheme="minorEastAsia"/>
            <w:kern w:val="2"/>
            <w:sz w:val="24"/>
            <w:szCs w:val="24"/>
            <w14:ligatures w14:val="standardContextual"/>
          </w:rPr>
          <w:tab/>
        </w:r>
        <w:r w:rsidRPr="00837F02">
          <w:rPr>
            <w:rStyle w:val="Hyperlink"/>
            <w:rFonts w:ascii="Arial" w:hAnsi="Arial" w:cs="Arial"/>
          </w:rPr>
          <w:t>Gross GHG Attribution Limit</w:t>
        </w:r>
        <w:r>
          <w:rPr>
            <w:webHidden/>
          </w:rPr>
          <w:tab/>
        </w:r>
        <w:r>
          <w:rPr>
            <w:webHidden/>
          </w:rPr>
          <w:fldChar w:fldCharType="begin"/>
        </w:r>
        <w:r>
          <w:rPr>
            <w:webHidden/>
          </w:rPr>
          <w:instrText xml:space="preserve"> PAGEREF _Toc228963745 \h </w:instrText>
        </w:r>
        <w:r>
          <w:rPr>
            <w:webHidden/>
          </w:rPr>
        </w:r>
        <w:r>
          <w:rPr>
            <w:webHidden/>
          </w:rPr>
          <w:fldChar w:fldCharType="separate"/>
        </w:r>
        <w:r>
          <w:rPr>
            <w:webHidden/>
          </w:rPr>
          <w:t>122</w:t>
        </w:r>
        <w:r>
          <w:rPr>
            <w:webHidden/>
          </w:rPr>
          <w:fldChar w:fldCharType="end"/>
        </w:r>
      </w:hyperlink>
    </w:p>
    <w:p w14:paraId="3181ECD4" w14:textId="6F0A53FD" w:rsidR="00E67016" w:rsidRDefault="00E67016">
      <w:pPr>
        <w:pStyle w:val="TOC2"/>
        <w:rPr>
          <w:rFonts w:eastAsiaTheme="minorEastAsia"/>
          <w:kern w:val="2"/>
          <w:sz w:val="24"/>
          <w:szCs w:val="24"/>
          <w14:ligatures w14:val="standardContextual"/>
        </w:rPr>
      </w:pPr>
      <w:hyperlink w:anchor="_Toc228963746" w:history="1">
        <w:r w:rsidRPr="00837F02">
          <w:rPr>
            <w:rStyle w:val="Hyperlink"/>
            <w:rFonts w:ascii="Arial" w:hAnsi="Arial" w:cs="Arial"/>
          </w:rPr>
          <w:t>23.6</w:t>
        </w:r>
        <w:r>
          <w:rPr>
            <w:rFonts w:eastAsiaTheme="minorEastAsia"/>
            <w:kern w:val="2"/>
            <w:sz w:val="24"/>
            <w:szCs w:val="24"/>
            <w14:ligatures w14:val="standardContextual"/>
          </w:rPr>
          <w:tab/>
        </w:r>
        <w:r w:rsidRPr="00837F02">
          <w:rPr>
            <w:rStyle w:val="Hyperlink"/>
            <w:rFonts w:ascii="Arial" w:hAnsi="Arial" w:cs="Arial"/>
          </w:rPr>
          <w:t>Data Availability</w:t>
        </w:r>
        <w:r>
          <w:rPr>
            <w:webHidden/>
          </w:rPr>
          <w:tab/>
        </w:r>
        <w:r>
          <w:rPr>
            <w:webHidden/>
          </w:rPr>
          <w:fldChar w:fldCharType="begin"/>
        </w:r>
        <w:r>
          <w:rPr>
            <w:webHidden/>
          </w:rPr>
          <w:instrText xml:space="preserve"> PAGEREF _Toc228963746 \h </w:instrText>
        </w:r>
        <w:r>
          <w:rPr>
            <w:webHidden/>
          </w:rPr>
        </w:r>
        <w:r>
          <w:rPr>
            <w:webHidden/>
          </w:rPr>
          <w:fldChar w:fldCharType="separate"/>
        </w:r>
        <w:r>
          <w:rPr>
            <w:webHidden/>
          </w:rPr>
          <w:t>127</w:t>
        </w:r>
        <w:r>
          <w:rPr>
            <w:webHidden/>
          </w:rPr>
          <w:fldChar w:fldCharType="end"/>
        </w:r>
      </w:hyperlink>
    </w:p>
    <w:p w14:paraId="60674DBE" w14:textId="44137549" w:rsidR="00E67016" w:rsidRDefault="00E67016">
      <w:pPr>
        <w:pStyle w:val="TOC1"/>
        <w:rPr>
          <w:rFonts w:eastAsiaTheme="minorEastAsia" w:cstheme="minorBidi"/>
          <w:b w:val="0"/>
          <w:kern w:val="2"/>
          <w:sz w:val="24"/>
          <w:szCs w:val="24"/>
          <w14:ligatures w14:val="standardContextual"/>
        </w:rPr>
      </w:pPr>
      <w:hyperlink w:anchor="_Toc228963747" w:history="1">
        <w:r w:rsidRPr="00837F02">
          <w:rPr>
            <w:rStyle w:val="Hyperlink"/>
            <w:rFonts w:ascii="Arial" w:hAnsi="Arial"/>
          </w:rPr>
          <w:t>24.</w:t>
        </w:r>
        <w:r>
          <w:rPr>
            <w:rFonts w:eastAsiaTheme="minorEastAsia" w:cstheme="minorBidi"/>
            <w:b w:val="0"/>
            <w:kern w:val="2"/>
            <w:sz w:val="24"/>
            <w:szCs w:val="24"/>
            <w14:ligatures w14:val="standardContextual"/>
          </w:rPr>
          <w:tab/>
        </w:r>
        <w:r w:rsidRPr="00837F02">
          <w:rPr>
            <w:rStyle w:val="Hyperlink"/>
            <w:rFonts w:ascii="Arial" w:hAnsi="Arial"/>
          </w:rPr>
          <w:t>Market Validation and Price Correction</w:t>
        </w:r>
        <w:r>
          <w:rPr>
            <w:webHidden/>
          </w:rPr>
          <w:tab/>
        </w:r>
        <w:r>
          <w:rPr>
            <w:webHidden/>
          </w:rPr>
          <w:fldChar w:fldCharType="begin"/>
        </w:r>
        <w:r>
          <w:rPr>
            <w:webHidden/>
          </w:rPr>
          <w:instrText xml:space="preserve"> PAGEREF _Toc228963747 \h </w:instrText>
        </w:r>
        <w:r>
          <w:rPr>
            <w:webHidden/>
          </w:rPr>
        </w:r>
        <w:r>
          <w:rPr>
            <w:webHidden/>
          </w:rPr>
          <w:fldChar w:fldCharType="separate"/>
        </w:r>
        <w:r>
          <w:rPr>
            <w:webHidden/>
          </w:rPr>
          <w:t>128</w:t>
        </w:r>
        <w:r>
          <w:rPr>
            <w:webHidden/>
          </w:rPr>
          <w:fldChar w:fldCharType="end"/>
        </w:r>
      </w:hyperlink>
    </w:p>
    <w:p w14:paraId="761E4BDC" w14:textId="16ECD3E4" w:rsidR="00E67016" w:rsidRDefault="00E67016">
      <w:pPr>
        <w:pStyle w:val="TOC2"/>
        <w:rPr>
          <w:rFonts w:eastAsiaTheme="minorEastAsia"/>
          <w:kern w:val="2"/>
          <w:sz w:val="24"/>
          <w:szCs w:val="24"/>
          <w14:ligatures w14:val="standardContextual"/>
        </w:rPr>
      </w:pPr>
      <w:hyperlink w:anchor="_Toc228963748" w:history="1">
        <w:r w:rsidRPr="00837F02">
          <w:rPr>
            <w:rStyle w:val="Hyperlink"/>
            <w:rFonts w:ascii="Arial" w:hAnsi="Arial" w:cs="Arial"/>
          </w:rPr>
          <w:t>24.1</w:t>
        </w:r>
        <w:r>
          <w:rPr>
            <w:rFonts w:eastAsiaTheme="minorEastAsia"/>
            <w:kern w:val="2"/>
            <w:sz w:val="24"/>
            <w:szCs w:val="24"/>
            <w14:ligatures w14:val="standardContextual"/>
          </w:rPr>
          <w:tab/>
        </w:r>
        <w:r w:rsidRPr="00837F02">
          <w:rPr>
            <w:rStyle w:val="Hyperlink"/>
            <w:rFonts w:ascii="Arial" w:hAnsi="Arial" w:cs="Arial"/>
          </w:rPr>
          <w:t>EDAM Price Validation</w:t>
        </w:r>
        <w:r>
          <w:rPr>
            <w:webHidden/>
          </w:rPr>
          <w:tab/>
        </w:r>
        <w:r>
          <w:rPr>
            <w:webHidden/>
          </w:rPr>
          <w:fldChar w:fldCharType="begin"/>
        </w:r>
        <w:r>
          <w:rPr>
            <w:webHidden/>
          </w:rPr>
          <w:instrText xml:space="preserve"> PAGEREF _Toc228963748 \h </w:instrText>
        </w:r>
        <w:r>
          <w:rPr>
            <w:webHidden/>
          </w:rPr>
        </w:r>
        <w:r>
          <w:rPr>
            <w:webHidden/>
          </w:rPr>
          <w:fldChar w:fldCharType="separate"/>
        </w:r>
        <w:r>
          <w:rPr>
            <w:webHidden/>
          </w:rPr>
          <w:t>128</w:t>
        </w:r>
        <w:r>
          <w:rPr>
            <w:webHidden/>
          </w:rPr>
          <w:fldChar w:fldCharType="end"/>
        </w:r>
      </w:hyperlink>
    </w:p>
    <w:p w14:paraId="03512EF6" w14:textId="33D49E22" w:rsidR="00E67016" w:rsidRDefault="00E67016">
      <w:pPr>
        <w:pStyle w:val="TOC2"/>
        <w:rPr>
          <w:rFonts w:eastAsiaTheme="minorEastAsia"/>
          <w:kern w:val="2"/>
          <w:sz w:val="24"/>
          <w:szCs w:val="24"/>
          <w14:ligatures w14:val="standardContextual"/>
        </w:rPr>
      </w:pPr>
      <w:hyperlink w:anchor="_Toc228963749" w:history="1">
        <w:r w:rsidRPr="00837F02">
          <w:rPr>
            <w:rStyle w:val="Hyperlink"/>
            <w:rFonts w:ascii="Arial" w:hAnsi="Arial" w:cs="Arial"/>
          </w:rPr>
          <w:t>24.2</w:t>
        </w:r>
        <w:r>
          <w:rPr>
            <w:rFonts w:eastAsiaTheme="minorEastAsia"/>
            <w:kern w:val="2"/>
            <w:sz w:val="24"/>
            <w:szCs w:val="24"/>
            <w14:ligatures w14:val="standardContextual"/>
          </w:rPr>
          <w:tab/>
        </w:r>
        <w:r w:rsidRPr="00837F02">
          <w:rPr>
            <w:rStyle w:val="Hyperlink"/>
            <w:rFonts w:ascii="Arial" w:hAnsi="Arial" w:cs="Arial"/>
          </w:rPr>
          <w:t>Scope of Price Corrections</w:t>
        </w:r>
        <w:r>
          <w:rPr>
            <w:webHidden/>
          </w:rPr>
          <w:tab/>
        </w:r>
        <w:r>
          <w:rPr>
            <w:webHidden/>
          </w:rPr>
          <w:fldChar w:fldCharType="begin"/>
        </w:r>
        <w:r>
          <w:rPr>
            <w:webHidden/>
          </w:rPr>
          <w:instrText xml:space="preserve"> PAGEREF _Toc228963749 \h </w:instrText>
        </w:r>
        <w:r>
          <w:rPr>
            <w:webHidden/>
          </w:rPr>
        </w:r>
        <w:r>
          <w:rPr>
            <w:webHidden/>
          </w:rPr>
          <w:fldChar w:fldCharType="separate"/>
        </w:r>
        <w:r>
          <w:rPr>
            <w:webHidden/>
          </w:rPr>
          <w:t>129</w:t>
        </w:r>
        <w:r>
          <w:rPr>
            <w:webHidden/>
          </w:rPr>
          <w:fldChar w:fldCharType="end"/>
        </w:r>
      </w:hyperlink>
    </w:p>
    <w:p w14:paraId="5C83468B" w14:textId="22A8D4B0" w:rsidR="00E67016" w:rsidRDefault="00E67016">
      <w:pPr>
        <w:pStyle w:val="TOC2"/>
        <w:rPr>
          <w:rFonts w:eastAsiaTheme="minorEastAsia"/>
          <w:kern w:val="2"/>
          <w:sz w:val="24"/>
          <w:szCs w:val="24"/>
          <w14:ligatures w14:val="standardContextual"/>
        </w:rPr>
      </w:pPr>
      <w:hyperlink w:anchor="_Toc228963750" w:history="1">
        <w:r w:rsidRPr="00837F02">
          <w:rPr>
            <w:rStyle w:val="Hyperlink"/>
            <w:rFonts w:ascii="Arial" w:hAnsi="Arial" w:cs="Arial"/>
          </w:rPr>
          <w:t>24.3</w:t>
        </w:r>
        <w:r>
          <w:rPr>
            <w:rFonts w:eastAsiaTheme="minorEastAsia"/>
            <w:kern w:val="2"/>
            <w:sz w:val="24"/>
            <w:szCs w:val="24"/>
            <w14:ligatures w14:val="standardContextual"/>
          </w:rPr>
          <w:tab/>
        </w:r>
        <w:r w:rsidRPr="00837F02">
          <w:rPr>
            <w:rStyle w:val="Hyperlink"/>
            <w:rFonts w:ascii="Arial" w:hAnsi="Arial" w:cs="Arial"/>
          </w:rPr>
          <w:t>Price Correction Process</w:t>
        </w:r>
        <w:r>
          <w:rPr>
            <w:webHidden/>
          </w:rPr>
          <w:tab/>
        </w:r>
        <w:r>
          <w:rPr>
            <w:webHidden/>
          </w:rPr>
          <w:fldChar w:fldCharType="begin"/>
        </w:r>
        <w:r>
          <w:rPr>
            <w:webHidden/>
          </w:rPr>
          <w:instrText xml:space="preserve"> PAGEREF _Toc228963750 \h </w:instrText>
        </w:r>
        <w:r>
          <w:rPr>
            <w:webHidden/>
          </w:rPr>
        </w:r>
        <w:r>
          <w:rPr>
            <w:webHidden/>
          </w:rPr>
          <w:fldChar w:fldCharType="separate"/>
        </w:r>
        <w:r>
          <w:rPr>
            <w:webHidden/>
          </w:rPr>
          <w:t>130</w:t>
        </w:r>
        <w:r>
          <w:rPr>
            <w:webHidden/>
          </w:rPr>
          <w:fldChar w:fldCharType="end"/>
        </w:r>
      </w:hyperlink>
    </w:p>
    <w:p w14:paraId="33361EA9" w14:textId="4F40EC01" w:rsidR="00E67016" w:rsidRDefault="00E67016">
      <w:pPr>
        <w:pStyle w:val="TOC2"/>
        <w:rPr>
          <w:rFonts w:eastAsiaTheme="minorEastAsia"/>
          <w:kern w:val="2"/>
          <w:sz w:val="24"/>
          <w:szCs w:val="24"/>
          <w14:ligatures w14:val="standardContextual"/>
        </w:rPr>
      </w:pPr>
      <w:hyperlink w:anchor="_Toc228963751" w:history="1">
        <w:r w:rsidRPr="00837F02">
          <w:rPr>
            <w:rStyle w:val="Hyperlink"/>
            <w:rFonts w:ascii="Arial" w:hAnsi="Arial" w:cs="Arial"/>
          </w:rPr>
          <w:t>24.4</w:t>
        </w:r>
        <w:r>
          <w:rPr>
            <w:rFonts w:eastAsiaTheme="minorEastAsia"/>
            <w:kern w:val="2"/>
            <w:sz w:val="24"/>
            <w:szCs w:val="24"/>
            <w14:ligatures w14:val="standardContextual"/>
          </w:rPr>
          <w:tab/>
        </w:r>
        <w:r w:rsidRPr="00837F02">
          <w:rPr>
            <w:rStyle w:val="Hyperlink"/>
            <w:rFonts w:ascii="Arial" w:hAnsi="Arial" w:cs="Arial"/>
          </w:rPr>
          <w:t>Administrative Pricing for EDAM Disruption</w:t>
        </w:r>
        <w:r>
          <w:rPr>
            <w:webHidden/>
          </w:rPr>
          <w:tab/>
        </w:r>
        <w:r>
          <w:rPr>
            <w:webHidden/>
          </w:rPr>
          <w:fldChar w:fldCharType="begin"/>
        </w:r>
        <w:r>
          <w:rPr>
            <w:webHidden/>
          </w:rPr>
          <w:instrText xml:space="preserve"> PAGEREF _Toc228963751 \h </w:instrText>
        </w:r>
        <w:r>
          <w:rPr>
            <w:webHidden/>
          </w:rPr>
        </w:r>
        <w:r>
          <w:rPr>
            <w:webHidden/>
          </w:rPr>
          <w:fldChar w:fldCharType="separate"/>
        </w:r>
        <w:r>
          <w:rPr>
            <w:webHidden/>
          </w:rPr>
          <w:t>133</w:t>
        </w:r>
        <w:r>
          <w:rPr>
            <w:webHidden/>
          </w:rPr>
          <w:fldChar w:fldCharType="end"/>
        </w:r>
      </w:hyperlink>
    </w:p>
    <w:p w14:paraId="3E4313E9" w14:textId="17AFB7D3" w:rsidR="00E67016" w:rsidRDefault="00E67016">
      <w:pPr>
        <w:pStyle w:val="TOC1"/>
        <w:rPr>
          <w:rFonts w:eastAsiaTheme="minorEastAsia" w:cstheme="minorBidi"/>
          <w:b w:val="0"/>
          <w:kern w:val="2"/>
          <w:sz w:val="24"/>
          <w:szCs w:val="24"/>
          <w14:ligatures w14:val="standardContextual"/>
        </w:rPr>
      </w:pPr>
      <w:hyperlink w:anchor="_Toc228963752" w:history="1">
        <w:r w:rsidRPr="00837F02">
          <w:rPr>
            <w:rStyle w:val="Hyperlink"/>
            <w:rFonts w:ascii="Arial" w:hAnsi="Arial"/>
          </w:rPr>
          <w:t>25.</w:t>
        </w:r>
        <w:r>
          <w:rPr>
            <w:rFonts w:eastAsiaTheme="minorEastAsia" w:cstheme="minorBidi"/>
            <w:b w:val="0"/>
            <w:kern w:val="2"/>
            <w:sz w:val="24"/>
            <w:szCs w:val="24"/>
            <w14:ligatures w14:val="standardContextual"/>
          </w:rPr>
          <w:tab/>
        </w:r>
        <w:r w:rsidRPr="00837F02">
          <w:rPr>
            <w:rStyle w:val="Hyperlink"/>
            <w:rFonts w:ascii="Arial" w:hAnsi="Arial"/>
          </w:rPr>
          <w:t>Congestion Revenue Rights</w:t>
        </w:r>
        <w:r>
          <w:rPr>
            <w:webHidden/>
          </w:rPr>
          <w:tab/>
        </w:r>
        <w:r>
          <w:rPr>
            <w:webHidden/>
          </w:rPr>
          <w:fldChar w:fldCharType="begin"/>
        </w:r>
        <w:r>
          <w:rPr>
            <w:webHidden/>
          </w:rPr>
          <w:instrText xml:space="preserve"> PAGEREF _Toc228963752 \h </w:instrText>
        </w:r>
        <w:r>
          <w:rPr>
            <w:webHidden/>
          </w:rPr>
        </w:r>
        <w:r>
          <w:rPr>
            <w:webHidden/>
          </w:rPr>
          <w:fldChar w:fldCharType="separate"/>
        </w:r>
        <w:r>
          <w:rPr>
            <w:webHidden/>
          </w:rPr>
          <w:t>133</w:t>
        </w:r>
        <w:r>
          <w:rPr>
            <w:webHidden/>
          </w:rPr>
          <w:fldChar w:fldCharType="end"/>
        </w:r>
      </w:hyperlink>
    </w:p>
    <w:p w14:paraId="2E5F954E" w14:textId="6E3A90B0" w:rsidR="00E67016" w:rsidRDefault="00E67016">
      <w:pPr>
        <w:pStyle w:val="TOC1"/>
        <w:rPr>
          <w:rFonts w:eastAsiaTheme="minorEastAsia" w:cstheme="minorBidi"/>
          <w:b w:val="0"/>
          <w:kern w:val="2"/>
          <w:sz w:val="24"/>
          <w:szCs w:val="24"/>
          <w14:ligatures w14:val="standardContextual"/>
        </w:rPr>
      </w:pPr>
      <w:hyperlink w:anchor="_Toc228963753" w:history="1">
        <w:r w:rsidRPr="00837F02">
          <w:rPr>
            <w:rStyle w:val="Hyperlink"/>
            <w:rFonts w:ascii="Arial" w:hAnsi="Arial"/>
          </w:rPr>
          <w:t>26.</w:t>
        </w:r>
        <w:r>
          <w:rPr>
            <w:rFonts w:eastAsiaTheme="minorEastAsia" w:cstheme="minorBidi"/>
            <w:b w:val="0"/>
            <w:kern w:val="2"/>
            <w:sz w:val="24"/>
            <w:szCs w:val="24"/>
            <w14:ligatures w14:val="standardContextual"/>
          </w:rPr>
          <w:tab/>
        </w:r>
        <w:r w:rsidRPr="00837F02">
          <w:rPr>
            <w:rStyle w:val="Hyperlink"/>
            <w:rFonts w:ascii="Arial" w:hAnsi="Arial"/>
          </w:rPr>
          <w:t>Rules of Conduct</w:t>
        </w:r>
        <w:r>
          <w:rPr>
            <w:webHidden/>
          </w:rPr>
          <w:tab/>
        </w:r>
        <w:r>
          <w:rPr>
            <w:webHidden/>
          </w:rPr>
          <w:fldChar w:fldCharType="begin"/>
        </w:r>
        <w:r>
          <w:rPr>
            <w:webHidden/>
          </w:rPr>
          <w:instrText xml:space="preserve"> PAGEREF _Toc228963753 \h </w:instrText>
        </w:r>
        <w:r>
          <w:rPr>
            <w:webHidden/>
          </w:rPr>
        </w:r>
        <w:r>
          <w:rPr>
            <w:webHidden/>
          </w:rPr>
          <w:fldChar w:fldCharType="separate"/>
        </w:r>
        <w:r>
          <w:rPr>
            <w:webHidden/>
          </w:rPr>
          <w:t>133</w:t>
        </w:r>
        <w:r>
          <w:rPr>
            <w:webHidden/>
          </w:rPr>
          <w:fldChar w:fldCharType="end"/>
        </w:r>
      </w:hyperlink>
    </w:p>
    <w:p w14:paraId="23EFAC00" w14:textId="05D78A44" w:rsidR="00E67016" w:rsidRDefault="00E67016">
      <w:pPr>
        <w:pStyle w:val="TOC1"/>
        <w:rPr>
          <w:rFonts w:eastAsiaTheme="minorEastAsia" w:cstheme="minorBidi"/>
          <w:b w:val="0"/>
          <w:kern w:val="2"/>
          <w:sz w:val="24"/>
          <w:szCs w:val="24"/>
          <w14:ligatures w14:val="standardContextual"/>
        </w:rPr>
      </w:pPr>
      <w:hyperlink w:anchor="_Toc228963754" w:history="1">
        <w:r w:rsidRPr="00837F02">
          <w:rPr>
            <w:rStyle w:val="Hyperlink"/>
            <w:rFonts w:ascii="Arial" w:hAnsi="Arial"/>
          </w:rPr>
          <w:t>27.</w:t>
        </w:r>
        <w:r>
          <w:rPr>
            <w:rFonts w:eastAsiaTheme="minorEastAsia" w:cstheme="minorBidi"/>
            <w:b w:val="0"/>
            <w:kern w:val="2"/>
            <w:sz w:val="24"/>
            <w:szCs w:val="24"/>
            <w14:ligatures w14:val="standardContextual"/>
          </w:rPr>
          <w:tab/>
        </w:r>
        <w:r w:rsidRPr="00837F02">
          <w:rPr>
            <w:rStyle w:val="Hyperlink"/>
            <w:rFonts w:ascii="Arial" w:hAnsi="Arial"/>
          </w:rPr>
          <w:t>Market Monitoring in EDAM</w:t>
        </w:r>
        <w:r>
          <w:rPr>
            <w:webHidden/>
          </w:rPr>
          <w:tab/>
        </w:r>
        <w:r>
          <w:rPr>
            <w:webHidden/>
          </w:rPr>
          <w:fldChar w:fldCharType="begin"/>
        </w:r>
        <w:r>
          <w:rPr>
            <w:webHidden/>
          </w:rPr>
          <w:instrText xml:space="preserve"> PAGEREF _Toc228963754 \h </w:instrText>
        </w:r>
        <w:r>
          <w:rPr>
            <w:webHidden/>
          </w:rPr>
        </w:r>
        <w:r>
          <w:rPr>
            <w:webHidden/>
          </w:rPr>
          <w:fldChar w:fldCharType="separate"/>
        </w:r>
        <w:r>
          <w:rPr>
            <w:webHidden/>
          </w:rPr>
          <w:t>134</w:t>
        </w:r>
        <w:r>
          <w:rPr>
            <w:webHidden/>
          </w:rPr>
          <w:fldChar w:fldCharType="end"/>
        </w:r>
      </w:hyperlink>
    </w:p>
    <w:p w14:paraId="3CA64D99" w14:textId="56C2634B" w:rsidR="00E67016" w:rsidRDefault="00E67016">
      <w:pPr>
        <w:pStyle w:val="TOC1"/>
        <w:rPr>
          <w:rStyle w:val="Hyperlink"/>
        </w:rPr>
      </w:pPr>
      <w:hyperlink w:anchor="_Toc228963755" w:history="1">
        <w:r w:rsidRPr="00837F02">
          <w:rPr>
            <w:rStyle w:val="Hyperlink"/>
            <w:rFonts w:ascii="Arial" w:hAnsi="Arial"/>
          </w:rPr>
          <w:t>28.</w:t>
        </w:r>
        <w:r>
          <w:rPr>
            <w:rFonts w:eastAsiaTheme="minorEastAsia" w:cstheme="minorBidi"/>
            <w:b w:val="0"/>
            <w:kern w:val="2"/>
            <w:sz w:val="24"/>
            <w:szCs w:val="24"/>
            <w14:ligatures w14:val="standardContextual"/>
          </w:rPr>
          <w:tab/>
        </w:r>
        <w:r w:rsidRPr="00837F02">
          <w:rPr>
            <w:rStyle w:val="Hyperlink"/>
            <w:rFonts w:ascii="Arial" w:hAnsi="Arial"/>
          </w:rPr>
          <w:t>Flexible Ramping Product</w:t>
        </w:r>
        <w:r>
          <w:rPr>
            <w:webHidden/>
          </w:rPr>
          <w:tab/>
        </w:r>
        <w:r>
          <w:rPr>
            <w:webHidden/>
          </w:rPr>
          <w:fldChar w:fldCharType="begin"/>
        </w:r>
        <w:r>
          <w:rPr>
            <w:webHidden/>
          </w:rPr>
          <w:instrText xml:space="preserve"> PAGEREF _Toc228963755 \h </w:instrText>
        </w:r>
        <w:r>
          <w:rPr>
            <w:webHidden/>
          </w:rPr>
        </w:r>
        <w:r>
          <w:rPr>
            <w:webHidden/>
          </w:rPr>
          <w:fldChar w:fldCharType="separate"/>
        </w:r>
        <w:r>
          <w:rPr>
            <w:webHidden/>
          </w:rPr>
          <w:t>134</w:t>
        </w:r>
        <w:r>
          <w:rPr>
            <w:webHidden/>
          </w:rPr>
          <w:fldChar w:fldCharType="end"/>
        </w:r>
      </w:hyperlink>
    </w:p>
    <w:p w14:paraId="7A68192C" w14:textId="77777777" w:rsidR="00E67016" w:rsidRDefault="00E67016">
      <w:pPr>
        <w:rPr>
          <w:rStyle w:val="Hyperlink"/>
          <w:rFonts w:cs="Arial"/>
          <w:b/>
          <w:noProof/>
        </w:rPr>
      </w:pPr>
      <w:r>
        <w:rPr>
          <w:rStyle w:val="Hyperlink"/>
        </w:rPr>
        <w:br w:type="page"/>
      </w:r>
    </w:p>
    <w:p w14:paraId="14748FEE" w14:textId="77777777" w:rsidR="00E67016" w:rsidRDefault="00E67016">
      <w:pPr>
        <w:pStyle w:val="TOC1"/>
        <w:rPr>
          <w:rFonts w:eastAsiaTheme="minorEastAsia" w:cstheme="minorBidi"/>
          <w:b w:val="0"/>
          <w:kern w:val="2"/>
          <w:sz w:val="24"/>
          <w:szCs w:val="24"/>
          <w14:ligatures w14:val="standardContextual"/>
        </w:rPr>
      </w:pPr>
    </w:p>
    <w:p w14:paraId="52FBB901" w14:textId="19C7B158" w:rsidR="00E67016" w:rsidRDefault="00E67016">
      <w:pPr>
        <w:pStyle w:val="TOC1"/>
        <w:rPr>
          <w:rFonts w:eastAsiaTheme="minorEastAsia" w:cstheme="minorBidi"/>
          <w:b w:val="0"/>
          <w:kern w:val="2"/>
          <w:sz w:val="24"/>
          <w:szCs w:val="24"/>
          <w14:ligatures w14:val="standardContextual"/>
        </w:rPr>
      </w:pPr>
      <w:hyperlink w:anchor="_Toc228963756" w:history="1">
        <w:r w:rsidRPr="00837F02">
          <w:rPr>
            <w:rStyle w:val="Hyperlink"/>
            <w:rFonts w:ascii="Arial" w:hAnsi="Arial"/>
          </w:rPr>
          <w:t>1.</w:t>
        </w:r>
        <w:r>
          <w:rPr>
            <w:rFonts w:eastAsiaTheme="minorEastAsia" w:cstheme="minorBidi"/>
            <w:b w:val="0"/>
            <w:kern w:val="2"/>
            <w:sz w:val="24"/>
            <w:szCs w:val="24"/>
            <w14:ligatures w14:val="standardContextual"/>
          </w:rPr>
          <w:tab/>
        </w:r>
        <w:r w:rsidRPr="00837F02">
          <w:rPr>
            <w:rStyle w:val="Hyperlink"/>
            <w:rFonts w:ascii="Arial" w:hAnsi="Arial"/>
            <w:bCs/>
          </w:rPr>
          <w:t>Appendix 1: CISO BAA Supplement to the EDAM Business Practice Manual</w:t>
        </w:r>
        <w:r>
          <w:rPr>
            <w:webHidden/>
          </w:rPr>
          <w:tab/>
        </w:r>
        <w:r>
          <w:rPr>
            <w:webHidden/>
          </w:rPr>
          <w:fldChar w:fldCharType="begin"/>
        </w:r>
        <w:r>
          <w:rPr>
            <w:webHidden/>
          </w:rPr>
          <w:instrText xml:space="preserve"> PAGEREF _Toc228963756 \h </w:instrText>
        </w:r>
        <w:r>
          <w:rPr>
            <w:webHidden/>
          </w:rPr>
        </w:r>
        <w:r>
          <w:rPr>
            <w:webHidden/>
          </w:rPr>
          <w:fldChar w:fldCharType="separate"/>
        </w:r>
        <w:r>
          <w:rPr>
            <w:webHidden/>
          </w:rPr>
          <w:t>135</w:t>
        </w:r>
        <w:r>
          <w:rPr>
            <w:webHidden/>
          </w:rPr>
          <w:fldChar w:fldCharType="end"/>
        </w:r>
      </w:hyperlink>
    </w:p>
    <w:p w14:paraId="1DF52DB6" w14:textId="04EADFE2" w:rsidR="00E67016" w:rsidRDefault="00E67016">
      <w:pPr>
        <w:pStyle w:val="TOC2"/>
        <w:rPr>
          <w:rFonts w:eastAsiaTheme="minorEastAsia"/>
          <w:kern w:val="2"/>
          <w:sz w:val="24"/>
          <w:szCs w:val="24"/>
          <w14:ligatures w14:val="standardContextual"/>
        </w:rPr>
      </w:pPr>
      <w:hyperlink w:anchor="_Toc228963757" w:history="1">
        <w:r w:rsidRPr="00837F02">
          <w:rPr>
            <w:rStyle w:val="Hyperlink"/>
          </w:rPr>
          <w:t>1.1</w:t>
        </w:r>
        <w:r>
          <w:rPr>
            <w:rFonts w:eastAsiaTheme="minorEastAsia"/>
            <w:kern w:val="2"/>
            <w:sz w:val="24"/>
            <w:szCs w:val="24"/>
            <w14:ligatures w14:val="standardContextual"/>
          </w:rPr>
          <w:tab/>
        </w:r>
        <w:r w:rsidRPr="00837F02">
          <w:rPr>
            <w:rStyle w:val="Hyperlink"/>
          </w:rPr>
          <w:t>Establishing the EDAM Net Export Transfer Constraint for the CISO BAA</w:t>
        </w:r>
        <w:r>
          <w:rPr>
            <w:webHidden/>
          </w:rPr>
          <w:tab/>
        </w:r>
        <w:r>
          <w:rPr>
            <w:webHidden/>
          </w:rPr>
          <w:fldChar w:fldCharType="begin"/>
        </w:r>
        <w:r>
          <w:rPr>
            <w:webHidden/>
          </w:rPr>
          <w:instrText xml:space="preserve"> PAGEREF _Toc228963757 \h </w:instrText>
        </w:r>
        <w:r>
          <w:rPr>
            <w:webHidden/>
          </w:rPr>
        </w:r>
        <w:r>
          <w:rPr>
            <w:webHidden/>
          </w:rPr>
          <w:fldChar w:fldCharType="separate"/>
        </w:r>
        <w:r>
          <w:rPr>
            <w:webHidden/>
          </w:rPr>
          <w:t>135</w:t>
        </w:r>
        <w:r>
          <w:rPr>
            <w:webHidden/>
          </w:rPr>
          <w:fldChar w:fldCharType="end"/>
        </w:r>
      </w:hyperlink>
    </w:p>
    <w:p w14:paraId="61E76A7E" w14:textId="0A4EF00B" w:rsidR="00E67016" w:rsidRDefault="00E67016">
      <w:pPr>
        <w:pStyle w:val="TOC2"/>
        <w:rPr>
          <w:rFonts w:eastAsiaTheme="minorEastAsia"/>
          <w:kern w:val="2"/>
          <w:sz w:val="24"/>
          <w:szCs w:val="24"/>
          <w14:ligatures w14:val="standardContextual"/>
        </w:rPr>
      </w:pPr>
      <w:hyperlink w:anchor="_Toc228963758" w:history="1">
        <w:r w:rsidRPr="00837F02">
          <w:rPr>
            <w:rStyle w:val="Hyperlink"/>
            <w:rFonts w:ascii="Arial" w:eastAsia="Calibri" w:hAnsi="Arial"/>
          </w:rPr>
          <w:t>1.1.1</w:t>
        </w:r>
        <w:r>
          <w:rPr>
            <w:rFonts w:eastAsiaTheme="minorEastAsia"/>
            <w:kern w:val="2"/>
            <w:sz w:val="24"/>
            <w:szCs w:val="24"/>
            <w14:ligatures w14:val="standardContextual"/>
          </w:rPr>
          <w:tab/>
        </w:r>
        <w:r w:rsidRPr="00837F02">
          <w:rPr>
            <w:rStyle w:val="Hyperlink"/>
            <w:rFonts w:eastAsia="Calibri"/>
          </w:rPr>
          <w:t>CONFIDENCE FACTOR</w:t>
        </w:r>
        <w:r>
          <w:rPr>
            <w:webHidden/>
          </w:rPr>
          <w:tab/>
        </w:r>
        <w:r>
          <w:rPr>
            <w:webHidden/>
          </w:rPr>
          <w:fldChar w:fldCharType="begin"/>
        </w:r>
        <w:r>
          <w:rPr>
            <w:webHidden/>
          </w:rPr>
          <w:instrText xml:space="preserve"> PAGEREF _Toc228963758 \h </w:instrText>
        </w:r>
        <w:r>
          <w:rPr>
            <w:webHidden/>
          </w:rPr>
        </w:r>
        <w:r>
          <w:rPr>
            <w:webHidden/>
          </w:rPr>
          <w:fldChar w:fldCharType="separate"/>
        </w:r>
        <w:r>
          <w:rPr>
            <w:webHidden/>
          </w:rPr>
          <w:t>136</w:t>
        </w:r>
        <w:r>
          <w:rPr>
            <w:webHidden/>
          </w:rPr>
          <w:fldChar w:fldCharType="end"/>
        </w:r>
      </w:hyperlink>
    </w:p>
    <w:p w14:paraId="05ED59A4" w14:textId="7EFDC0E7" w:rsidR="00E67016" w:rsidRDefault="00E67016">
      <w:pPr>
        <w:pStyle w:val="TOC2"/>
        <w:rPr>
          <w:rFonts w:eastAsiaTheme="minorEastAsia"/>
          <w:kern w:val="2"/>
          <w:sz w:val="24"/>
          <w:szCs w:val="24"/>
          <w14:ligatures w14:val="standardContextual"/>
        </w:rPr>
      </w:pPr>
      <w:hyperlink w:anchor="_Toc228963759" w:history="1">
        <w:r w:rsidRPr="00837F02">
          <w:rPr>
            <w:rStyle w:val="Hyperlink"/>
            <w:rFonts w:ascii="Arial" w:eastAsia="Calibri" w:hAnsi="Arial"/>
            <w:bCs/>
          </w:rPr>
          <w:t>1.1.2</w:t>
        </w:r>
        <w:r>
          <w:rPr>
            <w:rFonts w:eastAsiaTheme="minorEastAsia"/>
            <w:kern w:val="2"/>
            <w:sz w:val="24"/>
            <w:szCs w:val="24"/>
            <w14:ligatures w14:val="standardContextual"/>
          </w:rPr>
          <w:tab/>
        </w:r>
        <w:r w:rsidRPr="00837F02">
          <w:rPr>
            <w:rStyle w:val="Hyperlink"/>
            <w:rFonts w:eastAsia="Calibri"/>
          </w:rPr>
          <w:t>ADDITIONAL RELIABILITY MARGIN</w:t>
        </w:r>
        <w:r>
          <w:rPr>
            <w:webHidden/>
          </w:rPr>
          <w:tab/>
        </w:r>
        <w:r>
          <w:rPr>
            <w:webHidden/>
          </w:rPr>
          <w:fldChar w:fldCharType="begin"/>
        </w:r>
        <w:r>
          <w:rPr>
            <w:webHidden/>
          </w:rPr>
          <w:instrText xml:space="preserve"> PAGEREF _Toc228963759 \h </w:instrText>
        </w:r>
        <w:r>
          <w:rPr>
            <w:webHidden/>
          </w:rPr>
        </w:r>
        <w:r>
          <w:rPr>
            <w:webHidden/>
          </w:rPr>
          <w:fldChar w:fldCharType="separate"/>
        </w:r>
        <w:r>
          <w:rPr>
            <w:webHidden/>
          </w:rPr>
          <w:t>136</w:t>
        </w:r>
        <w:r>
          <w:rPr>
            <w:webHidden/>
          </w:rPr>
          <w:fldChar w:fldCharType="end"/>
        </w:r>
      </w:hyperlink>
    </w:p>
    <w:p w14:paraId="7D949156" w14:textId="5804660F" w:rsidR="00E67016" w:rsidRDefault="00E67016">
      <w:pPr>
        <w:pStyle w:val="TOC2"/>
        <w:rPr>
          <w:rFonts w:eastAsiaTheme="minorEastAsia"/>
          <w:kern w:val="2"/>
          <w:sz w:val="24"/>
          <w:szCs w:val="24"/>
          <w14:ligatures w14:val="standardContextual"/>
        </w:rPr>
      </w:pPr>
      <w:hyperlink w:anchor="_Toc228963760" w:history="1">
        <w:r w:rsidRPr="00837F02">
          <w:rPr>
            <w:rStyle w:val="Hyperlink"/>
          </w:rPr>
          <w:t>1.2</w:t>
        </w:r>
        <w:r>
          <w:rPr>
            <w:rFonts w:eastAsiaTheme="minorEastAsia"/>
            <w:kern w:val="2"/>
            <w:sz w:val="24"/>
            <w:szCs w:val="24"/>
            <w14:ligatures w14:val="standardContextual"/>
          </w:rPr>
          <w:tab/>
        </w:r>
        <w:r w:rsidRPr="00837F02">
          <w:rPr>
            <w:rStyle w:val="Hyperlink"/>
          </w:rPr>
          <w:t>Securing Day Ahead Sufficiency Within the CISO BAA</w:t>
        </w:r>
        <w:r>
          <w:rPr>
            <w:webHidden/>
          </w:rPr>
          <w:tab/>
        </w:r>
        <w:r>
          <w:rPr>
            <w:webHidden/>
          </w:rPr>
          <w:fldChar w:fldCharType="begin"/>
        </w:r>
        <w:r>
          <w:rPr>
            <w:webHidden/>
          </w:rPr>
          <w:instrText xml:space="preserve"> PAGEREF _Toc228963760 \h </w:instrText>
        </w:r>
        <w:r>
          <w:rPr>
            <w:webHidden/>
          </w:rPr>
        </w:r>
        <w:r>
          <w:rPr>
            <w:webHidden/>
          </w:rPr>
          <w:fldChar w:fldCharType="separate"/>
        </w:r>
        <w:r>
          <w:rPr>
            <w:webHidden/>
          </w:rPr>
          <w:t>137</w:t>
        </w:r>
        <w:r>
          <w:rPr>
            <w:webHidden/>
          </w:rPr>
          <w:fldChar w:fldCharType="end"/>
        </w:r>
      </w:hyperlink>
    </w:p>
    <w:p w14:paraId="47988940" w14:textId="2602C5E8" w:rsidR="00E67016" w:rsidRDefault="00E67016">
      <w:pPr>
        <w:pStyle w:val="TOC1"/>
        <w:rPr>
          <w:rFonts w:eastAsiaTheme="minorEastAsia" w:cstheme="minorBidi"/>
          <w:b w:val="0"/>
          <w:kern w:val="2"/>
          <w:sz w:val="24"/>
          <w:szCs w:val="24"/>
          <w14:ligatures w14:val="standardContextual"/>
        </w:rPr>
      </w:pPr>
      <w:hyperlink w:anchor="_Toc228963761" w:history="1">
        <w:r w:rsidRPr="00837F02">
          <w:rPr>
            <w:rStyle w:val="Hyperlink"/>
            <w:rFonts w:ascii="Arial" w:hAnsi="Arial"/>
          </w:rPr>
          <w:t>2.</w:t>
        </w:r>
        <w:r>
          <w:rPr>
            <w:rFonts w:eastAsiaTheme="minorEastAsia" w:cstheme="minorBidi"/>
            <w:b w:val="0"/>
            <w:kern w:val="2"/>
            <w:sz w:val="24"/>
            <w:szCs w:val="24"/>
            <w14:ligatures w14:val="standardContextual"/>
          </w:rPr>
          <w:tab/>
        </w:r>
        <w:r w:rsidRPr="00837F02">
          <w:rPr>
            <w:rStyle w:val="Hyperlink"/>
            <w:rFonts w:ascii="Arial" w:hAnsi="Arial"/>
          </w:rPr>
          <w:t>Appendix 2 – Operation of the Day-Ahead Market in the EDAM Area</w:t>
        </w:r>
        <w:r>
          <w:rPr>
            <w:webHidden/>
          </w:rPr>
          <w:tab/>
        </w:r>
        <w:r>
          <w:rPr>
            <w:webHidden/>
          </w:rPr>
          <w:fldChar w:fldCharType="begin"/>
        </w:r>
        <w:r>
          <w:rPr>
            <w:webHidden/>
          </w:rPr>
          <w:instrText xml:space="preserve"> PAGEREF _Toc228963761 \h </w:instrText>
        </w:r>
        <w:r>
          <w:rPr>
            <w:webHidden/>
          </w:rPr>
        </w:r>
        <w:r>
          <w:rPr>
            <w:webHidden/>
          </w:rPr>
          <w:fldChar w:fldCharType="separate"/>
        </w:r>
        <w:r>
          <w:rPr>
            <w:webHidden/>
          </w:rPr>
          <w:t>141</w:t>
        </w:r>
        <w:r>
          <w:rPr>
            <w:webHidden/>
          </w:rPr>
          <w:fldChar w:fldCharType="end"/>
        </w:r>
      </w:hyperlink>
    </w:p>
    <w:p w14:paraId="41D64394" w14:textId="6614679F" w:rsidR="00E67016" w:rsidRDefault="00E67016">
      <w:pPr>
        <w:pStyle w:val="TOC2"/>
        <w:rPr>
          <w:rFonts w:eastAsiaTheme="minorEastAsia"/>
          <w:kern w:val="2"/>
          <w:sz w:val="24"/>
          <w:szCs w:val="24"/>
          <w14:ligatures w14:val="standardContextual"/>
        </w:rPr>
      </w:pPr>
      <w:hyperlink w:anchor="_Toc228963762" w:history="1">
        <w:r w:rsidRPr="00837F02">
          <w:rPr>
            <w:rStyle w:val="Hyperlink"/>
            <w:rFonts w:ascii="Arial" w:hAnsi="Arial" w:cs="Arial"/>
          </w:rPr>
          <w:t>1.</w:t>
        </w:r>
        <w:r>
          <w:rPr>
            <w:rFonts w:eastAsiaTheme="minorEastAsia"/>
            <w:kern w:val="2"/>
            <w:sz w:val="24"/>
            <w:szCs w:val="24"/>
            <w14:ligatures w14:val="standardContextual"/>
          </w:rPr>
          <w:tab/>
        </w:r>
        <w:r w:rsidRPr="00837F02">
          <w:rPr>
            <w:rStyle w:val="Hyperlink"/>
            <w:rFonts w:ascii="Arial" w:hAnsi="Arial" w:cs="Arial"/>
          </w:rPr>
          <w:t>D4/2/1 Process Summary</w:t>
        </w:r>
        <w:r>
          <w:rPr>
            <w:webHidden/>
          </w:rPr>
          <w:tab/>
        </w:r>
        <w:r>
          <w:rPr>
            <w:webHidden/>
          </w:rPr>
          <w:fldChar w:fldCharType="begin"/>
        </w:r>
        <w:r>
          <w:rPr>
            <w:webHidden/>
          </w:rPr>
          <w:instrText xml:space="preserve"> PAGEREF _Toc228963762 \h </w:instrText>
        </w:r>
        <w:r>
          <w:rPr>
            <w:webHidden/>
          </w:rPr>
        </w:r>
        <w:r>
          <w:rPr>
            <w:webHidden/>
          </w:rPr>
          <w:fldChar w:fldCharType="separate"/>
        </w:r>
        <w:r>
          <w:rPr>
            <w:webHidden/>
          </w:rPr>
          <w:t>141</w:t>
        </w:r>
        <w:r>
          <w:rPr>
            <w:webHidden/>
          </w:rPr>
          <w:fldChar w:fldCharType="end"/>
        </w:r>
      </w:hyperlink>
    </w:p>
    <w:p w14:paraId="53EB4ABF" w14:textId="7984EE7C" w:rsidR="00E67016" w:rsidRDefault="00E67016">
      <w:pPr>
        <w:pStyle w:val="TOC2"/>
        <w:rPr>
          <w:rFonts w:eastAsiaTheme="minorEastAsia"/>
          <w:kern w:val="2"/>
          <w:sz w:val="24"/>
          <w:szCs w:val="24"/>
          <w14:ligatures w14:val="standardContextual"/>
        </w:rPr>
      </w:pPr>
      <w:hyperlink w:anchor="_Toc228963763" w:history="1">
        <w:r w:rsidRPr="00837F02">
          <w:rPr>
            <w:rStyle w:val="Hyperlink"/>
            <w:rFonts w:ascii="Arial" w:hAnsi="Arial" w:cs="Arial"/>
          </w:rPr>
          <w:t>2.</w:t>
        </w:r>
        <w:r>
          <w:rPr>
            <w:rFonts w:eastAsiaTheme="minorEastAsia"/>
            <w:kern w:val="2"/>
            <w:sz w:val="24"/>
            <w:szCs w:val="24"/>
            <w14:ligatures w14:val="standardContextual"/>
          </w:rPr>
          <w:tab/>
        </w:r>
        <w:r w:rsidRPr="00837F02">
          <w:rPr>
            <w:rStyle w:val="Hyperlink"/>
            <w:rFonts w:ascii="Arial" w:hAnsi="Arial" w:cs="Arial"/>
          </w:rPr>
          <w:t>Centralized and Coordinated Constraint Management Process</w:t>
        </w:r>
        <w:r>
          <w:rPr>
            <w:webHidden/>
          </w:rPr>
          <w:tab/>
        </w:r>
        <w:r>
          <w:rPr>
            <w:webHidden/>
          </w:rPr>
          <w:fldChar w:fldCharType="begin"/>
        </w:r>
        <w:r>
          <w:rPr>
            <w:webHidden/>
          </w:rPr>
          <w:instrText xml:space="preserve"> PAGEREF _Toc228963763 \h </w:instrText>
        </w:r>
        <w:r>
          <w:rPr>
            <w:webHidden/>
          </w:rPr>
        </w:r>
        <w:r>
          <w:rPr>
            <w:webHidden/>
          </w:rPr>
          <w:fldChar w:fldCharType="separate"/>
        </w:r>
        <w:r>
          <w:rPr>
            <w:webHidden/>
          </w:rPr>
          <w:t>142</w:t>
        </w:r>
        <w:r>
          <w:rPr>
            <w:webHidden/>
          </w:rPr>
          <w:fldChar w:fldCharType="end"/>
        </w:r>
      </w:hyperlink>
    </w:p>
    <w:p w14:paraId="049F7441" w14:textId="416CAE7B" w:rsidR="00E67016" w:rsidRDefault="00E67016">
      <w:pPr>
        <w:pStyle w:val="TOC2"/>
        <w:rPr>
          <w:rFonts w:eastAsiaTheme="minorEastAsia"/>
          <w:kern w:val="2"/>
          <w:sz w:val="24"/>
          <w:szCs w:val="24"/>
          <w14:ligatures w14:val="standardContextual"/>
        </w:rPr>
      </w:pPr>
      <w:hyperlink w:anchor="_Toc228963764" w:history="1">
        <w:r w:rsidRPr="00837F02">
          <w:rPr>
            <w:rStyle w:val="Hyperlink"/>
            <w:rFonts w:ascii="Arial" w:hAnsi="Arial" w:cs="Arial"/>
          </w:rPr>
          <w:t>3.</w:t>
        </w:r>
        <w:r>
          <w:rPr>
            <w:rFonts w:eastAsiaTheme="minorEastAsia"/>
            <w:kern w:val="2"/>
            <w:sz w:val="24"/>
            <w:szCs w:val="24"/>
            <w14:ligatures w14:val="standardContextual"/>
          </w:rPr>
          <w:tab/>
        </w:r>
        <w:r w:rsidRPr="00837F02">
          <w:rPr>
            <w:rStyle w:val="Hyperlink"/>
            <w:rFonts w:ascii="Arial" w:hAnsi="Arial" w:cs="Arial"/>
          </w:rPr>
          <w:t>Day-Ahead Contingency Analysis (DACA)</w:t>
        </w:r>
        <w:r>
          <w:rPr>
            <w:webHidden/>
          </w:rPr>
          <w:tab/>
        </w:r>
        <w:r>
          <w:rPr>
            <w:webHidden/>
          </w:rPr>
          <w:fldChar w:fldCharType="begin"/>
        </w:r>
        <w:r>
          <w:rPr>
            <w:webHidden/>
          </w:rPr>
          <w:instrText xml:space="preserve"> PAGEREF _Toc228963764 \h </w:instrText>
        </w:r>
        <w:r>
          <w:rPr>
            <w:webHidden/>
          </w:rPr>
        </w:r>
        <w:r>
          <w:rPr>
            <w:webHidden/>
          </w:rPr>
          <w:fldChar w:fldCharType="separate"/>
        </w:r>
        <w:r>
          <w:rPr>
            <w:webHidden/>
          </w:rPr>
          <w:t>146</w:t>
        </w:r>
        <w:r>
          <w:rPr>
            <w:webHidden/>
          </w:rPr>
          <w:fldChar w:fldCharType="end"/>
        </w:r>
      </w:hyperlink>
    </w:p>
    <w:p w14:paraId="743BA68B" w14:textId="08741B49" w:rsidR="00E67016" w:rsidRDefault="00E67016">
      <w:pPr>
        <w:pStyle w:val="TOC2"/>
        <w:rPr>
          <w:rFonts w:eastAsiaTheme="minorEastAsia"/>
          <w:kern w:val="2"/>
          <w:sz w:val="24"/>
          <w:szCs w:val="24"/>
          <w14:ligatures w14:val="standardContextual"/>
        </w:rPr>
      </w:pPr>
      <w:hyperlink w:anchor="_Toc228963765" w:history="1">
        <w:r w:rsidRPr="00837F02">
          <w:rPr>
            <w:rStyle w:val="Hyperlink"/>
            <w:rFonts w:ascii="Arial" w:hAnsi="Arial" w:cs="Arial"/>
          </w:rPr>
          <w:t>4.</w:t>
        </w:r>
        <w:r>
          <w:rPr>
            <w:rFonts w:eastAsiaTheme="minorEastAsia"/>
            <w:kern w:val="2"/>
            <w:sz w:val="24"/>
            <w:szCs w:val="24"/>
            <w14:ligatures w14:val="standardContextual"/>
          </w:rPr>
          <w:tab/>
        </w:r>
        <w:r w:rsidRPr="00837F02">
          <w:rPr>
            <w:rStyle w:val="Hyperlink"/>
            <w:rFonts w:ascii="Arial" w:hAnsi="Arial" w:cs="Arial"/>
          </w:rPr>
          <w:t>Extended Day-Ahead Market Elements</w:t>
        </w:r>
        <w:r>
          <w:rPr>
            <w:webHidden/>
          </w:rPr>
          <w:tab/>
        </w:r>
        <w:r>
          <w:rPr>
            <w:webHidden/>
          </w:rPr>
          <w:fldChar w:fldCharType="begin"/>
        </w:r>
        <w:r>
          <w:rPr>
            <w:webHidden/>
          </w:rPr>
          <w:instrText xml:space="preserve"> PAGEREF _Toc228963765 \h </w:instrText>
        </w:r>
        <w:r>
          <w:rPr>
            <w:webHidden/>
          </w:rPr>
        </w:r>
        <w:r>
          <w:rPr>
            <w:webHidden/>
          </w:rPr>
          <w:fldChar w:fldCharType="separate"/>
        </w:r>
        <w:r>
          <w:rPr>
            <w:webHidden/>
          </w:rPr>
          <w:t>147</w:t>
        </w:r>
        <w:r>
          <w:rPr>
            <w:webHidden/>
          </w:rPr>
          <w:fldChar w:fldCharType="end"/>
        </w:r>
      </w:hyperlink>
    </w:p>
    <w:p w14:paraId="2F7126E5" w14:textId="73F9CA7B" w:rsidR="00E67016" w:rsidRDefault="00E67016">
      <w:pPr>
        <w:pStyle w:val="TOC1"/>
        <w:rPr>
          <w:rFonts w:eastAsiaTheme="minorEastAsia" w:cstheme="minorBidi"/>
          <w:b w:val="0"/>
          <w:kern w:val="2"/>
          <w:sz w:val="24"/>
          <w:szCs w:val="24"/>
          <w14:ligatures w14:val="standardContextual"/>
        </w:rPr>
      </w:pPr>
      <w:hyperlink w:anchor="_Toc228963766" w:history="1">
        <w:r w:rsidRPr="00837F02">
          <w:rPr>
            <w:rStyle w:val="Hyperlink"/>
            <w:rFonts w:ascii="Arial" w:hAnsi="Arial"/>
          </w:rPr>
          <w:t>3.</w:t>
        </w:r>
        <w:r>
          <w:rPr>
            <w:rFonts w:eastAsiaTheme="minorEastAsia" w:cstheme="minorBidi"/>
            <w:b w:val="0"/>
            <w:kern w:val="2"/>
            <w:sz w:val="24"/>
            <w:szCs w:val="24"/>
            <w14:ligatures w14:val="standardContextual"/>
          </w:rPr>
          <w:tab/>
        </w:r>
        <w:r w:rsidRPr="00837F02">
          <w:rPr>
            <w:rStyle w:val="Hyperlink"/>
            <w:rFonts w:ascii="Arial" w:hAnsi="Arial"/>
          </w:rPr>
          <w:t>Appendix 3 - EDAM Demand Response Attestation</w:t>
        </w:r>
        <w:r>
          <w:rPr>
            <w:webHidden/>
          </w:rPr>
          <w:tab/>
        </w:r>
        <w:r>
          <w:rPr>
            <w:webHidden/>
          </w:rPr>
          <w:fldChar w:fldCharType="begin"/>
        </w:r>
        <w:r>
          <w:rPr>
            <w:webHidden/>
          </w:rPr>
          <w:instrText xml:space="preserve"> PAGEREF _Toc228963766 \h </w:instrText>
        </w:r>
        <w:r>
          <w:rPr>
            <w:webHidden/>
          </w:rPr>
        </w:r>
        <w:r>
          <w:rPr>
            <w:webHidden/>
          </w:rPr>
          <w:fldChar w:fldCharType="separate"/>
        </w:r>
        <w:r>
          <w:rPr>
            <w:webHidden/>
          </w:rPr>
          <w:t>151</w:t>
        </w:r>
        <w:r>
          <w:rPr>
            <w:webHidden/>
          </w:rPr>
          <w:fldChar w:fldCharType="end"/>
        </w:r>
      </w:hyperlink>
    </w:p>
    <w:p w14:paraId="3352CCC6" w14:textId="22EDF789" w:rsidR="003C7846" w:rsidRPr="00746F54" w:rsidRDefault="00D1171F" w:rsidP="00CE16DF">
      <w:pPr>
        <w:jc w:val="center"/>
        <w:rPr>
          <w:rFonts w:ascii="Arial" w:eastAsiaTheme="minorEastAsia" w:hAnsi="Arial" w:cs="Arial"/>
          <w:kern w:val="2"/>
          <w:sz w:val="24"/>
          <w:szCs w:val="24"/>
          <w14:ligatures w14:val="standardContextual"/>
        </w:rPr>
      </w:pPr>
      <w:r w:rsidRPr="00746F54">
        <w:rPr>
          <w:rFonts w:ascii="Arial" w:eastAsia="Aptos" w:hAnsi="Arial" w:cs="Arial"/>
          <w:b/>
          <w:noProof/>
          <w:kern w:val="2"/>
          <w:sz w:val="24"/>
          <w:szCs w:val="24"/>
          <w14:ligatures w14:val="standardContextual"/>
        </w:rPr>
        <w:fldChar w:fldCharType="end"/>
      </w:r>
    </w:p>
    <w:p w14:paraId="3DE624F4" w14:textId="77777777" w:rsidR="00E14135" w:rsidRPr="00746F54" w:rsidRDefault="00E14135" w:rsidP="00E14135">
      <w:pPr>
        <w:pStyle w:val="ParaText"/>
        <w:rPr>
          <w:rFonts w:ascii="Arial" w:hAnsi="Arial" w:cs="Arial"/>
        </w:rPr>
        <w:sectPr w:rsidR="00E14135" w:rsidRPr="00746F54">
          <w:headerReference w:type="default" r:id="rId16"/>
          <w:footerReference w:type="default" r:id="rId17"/>
          <w:pgSz w:w="12240" w:h="15840"/>
          <w:pgMar w:top="1728" w:right="1440" w:bottom="1728" w:left="1440" w:header="720" w:footer="720" w:gutter="0"/>
          <w:pgNumType w:fmt="lowerRoman" w:start="1"/>
          <w:cols w:space="720"/>
        </w:sectPr>
      </w:pPr>
    </w:p>
    <w:p w14:paraId="412483A6" w14:textId="77777777" w:rsidR="00E14135" w:rsidRPr="00746F54" w:rsidRDefault="00E14135" w:rsidP="00E14135">
      <w:pPr>
        <w:pStyle w:val="Heading1"/>
        <w:rPr>
          <w:rFonts w:ascii="Arial" w:hAnsi="Arial" w:cs="Arial"/>
        </w:rPr>
      </w:pPr>
      <w:bookmarkStart w:id="1" w:name="_Toc112039791"/>
      <w:bookmarkStart w:id="2" w:name="_Toc196209117"/>
      <w:bookmarkStart w:id="3" w:name="_Toc283808014"/>
      <w:bookmarkStart w:id="4" w:name="_Toc211337859"/>
      <w:bookmarkStart w:id="5" w:name="_Toc228963672"/>
      <w:r w:rsidRPr="00746F54">
        <w:rPr>
          <w:rFonts w:ascii="Arial" w:hAnsi="Arial" w:cs="Arial"/>
        </w:rPr>
        <w:lastRenderedPageBreak/>
        <w:t>Introduction</w:t>
      </w:r>
      <w:bookmarkEnd w:id="1"/>
      <w:bookmarkEnd w:id="2"/>
      <w:bookmarkEnd w:id="3"/>
      <w:bookmarkEnd w:id="4"/>
      <w:bookmarkEnd w:id="5"/>
    </w:p>
    <w:p w14:paraId="30DB5D6F" w14:textId="6F50E7E8" w:rsidR="00E14135" w:rsidRPr="00746F54" w:rsidRDefault="00E14135" w:rsidP="00E14135">
      <w:pPr>
        <w:pStyle w:val="ParaText"/>
        <w:rPr>
          <w:rFonts w:ascii="Arial" w:hAnsi="Arial" w:cs="Arial"/>
        </w:rPr>
      </w:pPr>
      <w:r w:rsidRPr="00746F54">
        <w:rPr>
          <w:rFonts w:ascii="Arial" w:hAnsi="Arial" w:cs="Arial"/>
        </w:rPr>
        <w:t xml:space="preserve">Welcome to the ISO </w:t>
      </w:r>
      <w:r w:rsidRPr="00746F54">
        <w:rPr>
          <w:rFonts w:ascii="Arial" w:hAnsi="Arial" w:cs="Arial"/>
          <w:b/>
          <w:bCs/>
          <w:i/>
          <w:iCs/>
        </w:rPr>
        <w:t>BPM for</w:t>
      </w:r>
      <w:r w:rsidR="00750440" w:rsidRPr="00746F54">
        <w:rPr>
          <w:rFonts w:ascii="Arial" w:hAnsi="Arial" w:cs="Arial"/>
          <w:b/>
          <w:bCs/>
          <w:i/>
          <w:iCs/>
        </w:rPr>
        <w:t xml:space="preserve"> the</w:t>
      </w:r>
      <w:r w:rsidRPr="00746F54">
        <w:rPr>
          <w:rFonts w:ascii="Arial" w:hAnsi="Arial" w:cs="Arial"/>
          <w:b/>
          <w:bCs/>
          <w:i/>
          <w:iCs/>
        </w:rPr>
        <w:t xml:space="preserve"> Extended Day</w:t>
      </w:r>
      <w:r w:rsidR="00750440" w:rsidRPr="00746F54">
        <w:rPr>
          <w:rFonts w:ascii="Arial" w:hAnsi="Arial" w:cs="Arial"/>
          <w:b/>
          <w:bCs/>
          <w:i/>
          <w:iCs/>
        </w:rPr>
        <w:t>-</w:t>
      </w:r>
      <w:r w:rsidRPr="00746F54">
        <w:rPr>
          <w:rFonts w:ascii="Arial" w:hAnsi="Arial" w:cs="Arial"/>
          <w:b/>
          <w:bCs/>
          <w:i/>
          <w:iCs/>
        </w:rPr>
        <w:t>Ahead Market</w:t>
      </w:r>
      <w:r w:rsidRPr="00746F54">
        <w:rPr>
          <w:rFonts w:ascii="Arial" w:hAnsi="Arial" w:cs="Arial"/>
        </w:rPr>
        <w:t>. In this Introduction you will find the following information:</w:t>
      </w:r>
    </w:p>
    <w:p w14:paraId="6A9C34E7" w14:textId="77777777" w:rsidR="00E14135" w:rsidRPr="00746F54" w:rsidRDefault="00E14135" w:rsidP="00E14135">
      <w:pPr>
        <w:pStyle w:val="Bullet1HRt"/>
        <w:rPr>
          <w:rFonts w:ascii="Arial" w:hAnsi="Arial" w:cs="Arial"/>
        </w:rPr>
      </w:pPr>
      <w:r w:rsidRPr="00746F54">
        <w:rPr>
          <w:rFonts w:ascii="Arial" w:hAnsi="Arial" w:cs="Arial"/>
        </w:rPr>
        <w:t>The purpose of ISO BPMs</w:t>
      </w:r>
    </w:p>
    <w:p w14:paraId="05A669FF" w14:textId="77777777" w:rsidR="00E14135" w:rsidRPr="00746F54" w:rsidRDefault="00E14135" w:rsidP="00E14135">
      <w:pPr>
        <w:pStyle w:val="Bullet1HRt"/>
        <w:rPr>
          <w:rFonts w:ascii="Arial" w:hAnsi="Arial" w:cs="Arial"/>
        </w:rPr>
      </w:pPr>
      <w:r w:rsidRPr="00746F54">
        <w:rPr>
          <w:rFonts w:ascii="Arial" w:hAnsi="Arial" w:cs="Arial"/>
        </w:rPr>
        <w:t>What you can expect from this ISO BPM</w:t>
      </w:r>
    </w:p>
    <w:p w14:paraId="5C3D1A93" w14:textId="6435B661" w:rsidR="00E14135" w:rsidRPr="00746F54" w:rsidRDefault="00E14135" w:rsidP="00E14135">
      <w:pPr>
        <w:pStyle w:val="Bullet1HRt"/>
        <w:rPr>
          <w:rFonts w:ascii="Arial" w:hAnsi="Arial" w:cs="Arial"/>
        </w:rPr>
      </w:pPr>
      <w:r w:rsidRPr="00746F54">
        <w:rPr>
          <w:rFonts w:ascii="Arial" w:hAnsi="Arial" w:cs="Arial"/>
        </w:rPr>
        <w:t xml:space="preserve">Other ISO BPMs or documents that provide related or additional </w:t>
      </w:r>
      <w:r w:rsidR="00A62A99" w:rsidRPr="00746F54">
        <w:rPr>
          <w:rFonts w:ascii="Arial" w:hAnsi="Arial" w:cs="Arial"/>
        </w:rPr>
        <w:t>information.</w:t>
      </w:r>
    </w:p>
    <w:p w14:paraId="2F31696C" w14:textId="77777777" w:rsidR="00E14135" w:rsidRPr="00746F54" w:rsidRDefault="00E14135" w:rsidP="00E14135">
      <w:pPr>
        <w:pStyle w:val="Heading2"/>
        <w:rPr>
          <w:rFonts w:ascii="Arial" w:hAnsi="Arial" w:cs="Arial"/>
        </w:rPr>
      </w:pPr>
      <w:bookmarkStart w:id="6" w:name="_Toc196209118"/>
      <w:bookmarkStart w:id="7" w:name="_Toc283808015"/>
      <w:bookmarkStart w:id="8" w:name="_Toc211337860"/>
      <w:bookmarkStart w:id="9" w:name="_Toc228963673"/>
      <w:r w:rsidRPr="00746F54">
        <w:rPr>
          <w:rFonts w:ascii="Arial" w:hAnsi="Arial" w:cs="Arial"/>
        </w:rPr>
        <w:t>Purpose of ISO Business Practice Manuals</w:t>
      </w:r>
      <w:bookmarkEnd w:id="6"/>
      <w:bookmarkEnd w:id="7"/>
      <w:bookmarkEnd w:id="8"/>
      <w:bookmarkEnd w:id="9"/>
    </w:p>
    <w:p w14:paraId="20B01E31" w14:textId="27C82534" w:rsidR="00E14135" w:rsidRPr="00746F54" w:rsidRDefault="00E14135" w:rsidP="00653F2E">
      <w:pPr>
        <w:pStyle w:val="ParaText"/>
        <w:rPr>
          <w:rFonts w:ascii="Arial" w:hAnsi="Arial" w:cs="Arial"/>
        </w:rPr>
      </w:pPr>
      <w:r w:rsidRPr="00746F54">
        <w:rPr>
          <w:rFonts w:ascii="Arial" w:hAnsi="Arial" w:cs="Arial"/>
        </w:rPr>
        <w:t>The Business Practice Manuals (BPMs) developed by</w:t>
      </w:r>
      <w:r w:rsidR="00653F2E" w:rsidRPr="00746F54">
        <w:rPr>
          <w:rFonts w:ascii="Arial" w:hAnsi="Arial" w:cs="Arial"/>
        </w:rPr>
        <w:t xml:space="preserve"> the</w:t>
      </w:r>
      <w:r w:rsidRPr="00746F54">
        <w:rPr>
          <w:rFonts w:ascii="Arial" w:hAnsi="Arial" w:cs="Arial"/>
        </w:rPr>
        <w:t xml:space="preserve"> </w:t>
      </w:r>
      <w:r w:rsidR="00653F2E" w:rsidRPr="00746F54">
        <w:rPr>
          <w:rFonts w:ascii="Arial" w:hAnsi="Arial" w:cs="Arial"/>
        </w:rPr>
        <w:t>CA</w:t>
      </w:r>
      <w:r w:rsidRPr="00746F54">
        <w:rPr>
          <w:rFonts w:ascii="Arial" w:hAnsi="Arial" w:cs="Arial"/>
        </w:rPr>
        <w:t>ISO contain implementation detail</w:t>
      </w:r>
      <w:r w:rsidR="00D363B3">
        <w:rPr>
          <w:rFonts w:ascii="Arial" w:hAnsi="Arial" w:cs="Arial"/>
        </w:rPr>
        <w:t>s</w:t>
      </w:r>
      <w:r w:rsidR="00653F2E" w:rsidRPr="00746F54">
        <w:rPr>
          <w:rFonts w:ascii="Arial" w:hAnsi="Arial" w:cs="Arial"/>
        </w:rPr>
        <w:t xml:space="preserve"> for the Extended Day</w:t>
      </w:r>
      <w:r w:rsidR="00750440" w:rsidRPr="00746F54">
        <w:rPr>
          <w:rFonts w:ascii="Arial" w:hAnsi="Arial" w:cs="Arial"/>
        </w:rPr>
        <w:t>-</w:t>
      </w:r>
      <w:r w:rsidR="00653F2E" w:rsidRPr="00746F54">
        <w:rPr>
          <w:rFonts w:ascii="Arial" w:hAnsi="Arial" w:cs="Arial"/>
        </w:rPr>
        <w:t>Ahead Market</w:t>
      </w:r>
      <w:r w:rsidRPr="00746F54">
        <w:rPr>
          <w:rFonts w:ascii="Arial" w:hAnsi="Arial" w:cs="Arial"/>
        </w:rPr>
        <w:t xml:space="preserve">, consistent with and supported by the ISO Tariff, </w:t>
      </w:r>
      <w:r w:rsidR="00A62A99" w:rsidRPr="00746F54">
        <w:rPr>
          <w:rFonts w:ascii="Arial" w:hAnsi="Arial" w:cs="Arial"/>
        </w:rPr>
        <w:t>including</w:t>
      </w:r>
      <w:r w:rsidRPr="00746F54">
        <w:rPr>
          <w:rFonts w:ascii="Arial" w:hAnsi="Arial" w:cs="Arial"/>
        </w:rPr>
        <w:t xml:space="preserve"> instructions, rules, procedures, examples, and guidelines for the administration, operation, planning, and accounting requirements of </w:t>
      </w:r>
      <w:r w:rsidR="00750440" w:rsidRPr="00746F54">
        <w:rPr>
          <w:rFonts w:ascii="Arial" w:hAnsi="Arial" w:cs="Arial"/>
        </w:rPr>
        <w:t xml:space="preserve">the </w:t>
      </w:r>
      <w:r w:rsidRPr="00746F54">
        <w:rPr>
          <w:rFonts w:ascii="Arial" w:hAnsi="Arial" w:cs="Arial"/>
        </w:rPr>
        <w:t xml:space="preserve">ISO and the markets. Each Business Practice Manual is posted in the BPM Library at: </w:t>
      </w:r>
      <w:hyperlink r:id="rId18" w:history="1">
        <w:r w:rsidRPr="00746F54">
          <w:rPr>
            <w:rStyle w:val="Hyperlink"/>
            <w:rFonts w:ascii="Arial" w:hAnsi="Arial" w:cs="Arial"/>
          </w:rPr>
          <w:t>http://bpmcm.ISO.com/Pages/BPMLibrary.aspx</w:t>
        </w:r>
      </w:hyperlink>
      <w:r w:rsidRPr="00746F54">
        <w:rPr>
          <w:rFonts w:ascii="Arial" w:hAnsi="Arial" w:cs="Arial"/>
        </w:rPr>
        <w:t xml:space="preserve"> </w:t>
      </w:r>
    </w:p>
    <w:p w14:paraId="1F8307D5" w14:textId="77777777" w:rsidR="00E14135" w:rsidRPr="00746F54" w:rsidRDefault="00E14135" w:rsidP="00E14135">
      <w:pPr>
        <w:pStyle w:val="Heading2"/>
        <w:keepLines/>
        <w:rPr>
          <w:rFonts w:ascii="Arial" w:hAnsi="Arial" w:cs="Arial"/>
        </w:rPr>
      </w:pPr>
      <w:bookmarkStart w:id="10" w:name="_Toc112039793"/>
      <w:bookmarkStart w:id="11" w:name="_Toc130962800"/>
      <w:bookmarkStart w:id="12" w:name="_Toc196209119"/>
      <w:bookmarkStart w:id="13" w:name="_Toc283808016"/>
      <w:bookmarkStart w:id="14" w:name="_Toc211337861"/>
      <w:bookmarkStart w:id="15" w:name="_Toc228963674"/>
      <w:r w:rsidRPr="00746F54">
        <w:rPr>
          <w:rFonts w:ascii="Arial" w:hAnsi="Arial" w:cs="Arial"/>
        </w:rPr>
        <w:t>Purpose of this Business Practice Manual</w:t>
      </w:r>
      <w:bookmarkEnd w:id="10"/>
      <w:bookmarkEnd w:id="11"/>
      <w:bookmarkEnd w:id="12"/>
      <w:bookmarkEnd w:id="13"/>
      <w:bookmarkEnd w:id="14"/>
      <w:bookmarkEnd w:id="15"/>
    </w:p>
    <w:p w14:paraId="00D03B8B" w14:textId="1796F0BC" w:rsidR="00E14135" w:rsidRPr="00746F54" w:rsidRDefault="00E14135" w:rsidP="00E14135">
      <w:pPr>
        <w:pStyle w:val="ParaText"/>
        <w:rPr>
          <w:rFonts w:ascii="Arial" w:hAnsi="Arial" w:cs="Arial"/>
        </w:rPr>
      </w:pPr>
      <w:r w:rsidRPr="00746F54">
        <w:rPr>
          <w:rFonts w:ascii="Arial" w:hAnsi="Arial" w:cs="Arial"/>
        </w:rPr>
        <w:t xml:space="preserve">The Extended </w:t>
      </w:r>
      <w:r w:rsidRPr="00746F54" w:rsidDel="00750440">
        <w:rPr>
          <w:rFonts w:ascii="Arial" w:hAnsi="Arial" w:cs="Arial"/>
        </w:rPr>
        <w:t>Day</w:t>
      </w:r>
      <w:r w:rsidR="00750440" w:rsidRPr="00746F54">
        <w:rPr>
          <w:rFonts w:ascii="Arial" w:hAnsi="Arial" w:cs="Arial"/>
        </w:rPr>
        <w:t>-Ahead</w:t>
      </w:r>
      <w:r w:rsidR="0073733D" w:rsidRPr="00746F54">
        <w:rPr>
          <w:rFonts w:ascii="Arial" w:hAnsi="Arial" w:cs="Arial"/>
        </w:rPr>
        <w:t xml:space="preserve"> </w:t>
      </w:r>
      <w:r w:rsidRPr="00746F54">
        <w:rPr>
          <w:rFonts w:ascii="Arial" w:hAnsi="Arial" w:cs="Arial"/>
        </w:rPr>
        <w:t>Market</w:t>
      </w:r>
      <w:r w:rsidR="00653F2E" w:rsidRPr="00746F54">
        <w:rPr>
          <w:rFonts w:ascii="Arial" w:hAnsi="Arial" w:cs="Arial"/>
        </w:rPr>
        <w:t xml:space="preserve"> (EDAM)</w:t>
      </w:r>
      <w:r w:rsidRPr="00746F54">
        <w:rPr>
          <w:rFonts w:ascii="Arial" w:hAnsi="Arial" w:cs="Arial"/>
        </w:rPr>
        <w:t xml:space="preserve"> is an extension of CAISO’s </w:t>
      </w:r>
      <w:r w:rsidRPr="00746F54" w:rsidDel="00750440">
        <w:rPr>
          <w:rFonts w:ascii="Arial" w:hAnsi="Arial" w:cs="Arial"/>
        </w:rPr>
        <w:t>Day</w:t>
      </w:r>
      <w:r w:rsidR="00750440" w:rsidRPr="00746F54">
        <w:rPr>
          <w:rFonts w:ascii="Arial" w:hAnsi="Arial" w:cs="Arial"/>
        </w:rPr>
        <w:t>-Ahead</w:t>
      </w:r>
      <w:r w:rsidR="00A960C4" w:rsidRPr="00746F54">
        <w:rPr>
          <w:rFonts w:ascii="Arial" w:hAnsi="Arial" w:cs="Arial"/>
        </w:rPr>
        <w:t xml:space="preserve"> </w:t>
      </w:r>
      <w:r w:rsidRPr="00746F54">
        <w:rPr>
          <w:rFonts w:ascii="Arial" w:hAnsi="Arial" w:cs="Arial"/>
        </w:rPr>
        <w:t>Market</w:t>
      </w:r>
      <w:r w:rsidR="00653F2E" w:rsidRPr="00746F54">
        <w:rPr>
          <w:rFonts w:ascii="Arial" w:hAnsi="Arial" w:cs="Arial"/>
        </w:rPr>
        <w:t xml:space="preserve"> across balancing authority areas of the West participating in the Western Energy Imbalance Market (WEIM)</w:t>
      </w:r>
      <w:r w:rsidRPr="00746F54">
        <w:rPr>
          <w:rFonts w:ascii="Arial" w:hAnsi="Arial" w:cs="Arial"/>
        </w:rPr>
        <w:t xml:space="preserve">.  This business practice manual is a guideline for EDAM participants and will outline the processes in </w:t>
      </w:r>
      <w:r w:rsidR="00A62A99" w:rsidRPr="00746F54">
        <w:rPr>
          <w:rFonts w:ascii="Arial" w:hAnsi="Arial" w:cs="Arial"/>
        </w:rPr>
        <w:t>EDAM</w:t>
      </w:r>
      <w:r w:rsidRPr="00746F54">
        <w:rPr>
          <w:rFonts w:ascii="Arial" w:hAnsi="Arial" w:cs="Arial"/>
        </w:rPr>
        <w:t>, including references to existing Business Practice Manuals.  Revision requests for the BPMs may be submitted by stakeholders or an internal CAISO department</w:t>
      </w:r>
      <w:r w:rsidR="001B2249" w:rsidRPr="00746F54">
        <w:rPr>
          <w:rFonts w:ascii="Arial" w:hAnsi="Arial" w:cs="Arial"/>
        </w:rPr>
        <w:t xml:space="preserve"> and will follow the BPM change management procedures</w:t>
      </w:r>
      <w:r w:rsidRPr="00746F54">
        <w:rPr>
          <w:rFonts w:ascii="Arial" w:hAnsi="Arial" w:cs="Arial"/>
        </w:rPr>
        <w:t xml:space="preserve">.  </w:t>
      </w:r>
    </w:p>
    <w:p w14:paraId="4F88E9B5" w14:textId="12BADEC9" w:rsidR="00E14135" w:rsidRPr="00746F54" w:rsidRDefault="00E14135" w:rsidP="00E14135">
      <w:pPr>
        <w:pStyle w:val="ParaText"/>
        <w:rPr>
          <w:rFonts w:ascii="Arial" w:hAnsi="Arial" w:cs="Arial"/>
        </w:rPr>
      </w:pPr>
      <w:r w:rsidRPr="00746F54">
        <w:rPr>
          <w:rFonts w:ascii="Arial" w:hAnsi="Arial" w:cs="Arial"/>
        </w:rPr>
        <w:t>Although this BPM is primarily concerned with market operations, there is overlap with other BPMs. Where appropriate, the reader is directed to the other BPMs for additional information</w:t>
      </w:r>
      <w:r w:rsidR="001B2249" w:rsidRPr="00746F54">
        <w:rPr>
          <w:rFonts w:ascii="Arial" w:hAnsi="Arial" w:cs="Arial"/>
        </w:rPr>
        <w:t xml:space="preserve"> rather than repeating the information</w:t>
      </w:r>
      <w:r w:rsidRPr="00746F54">
        <w:rPr>
          <w:rFonts w:ascii="Arial" w:hAnsi="Arial" w:cs="Arial"/>
        </w:rPr>
        <w:t>.</w:t>
      </w:r>
    </w:p>
    <w:p w14:paraId="14AD221C" w14:textId="77777777" w:rsidR="00E14135" w:rsidRPr="00746F54" w:rsidRDefault="00E14135" w:rsidP="00E14135">
      <w:pPr>
        <w:pStyle w:val="Heading2"/>
        <w:rPr>
          <w:rFonts w:ascii="Arial" w:hAnsi="Arial" w:cs="Arial"/>
        </w:rPr>
      </w:pPr>
      <w:bookmarkStart w:id="16" w:name="_Toc112039794"/>
      <w:bookmarkStart w:id="17" w:name="_Toc130962801"/>
      <w:bookmarkStart w:id="18" w:name="_Toc196209120"/>
      <w:bookmarkStart w:id="19" w:name="_Toc283808017"/>
      <w:bookmarkStart w:id="20" w:name="_Toc211337862"/>
      <w:bookmarkStart w:id="21" w:name="_Toc228963675"/>
      <w:r w:rsidRPr="00746F54">
        <w:rPr>
          <w:rFonts w:ascii="Arial" w:hAnsi="Arial" w:cs="Arial"/>
        </w:rPr>
        <w:t>References</w:t>
      </w:r>
      <w:bookmarkEnd w:id="16"/>
      <w:bookmarkEnd w:id="17"/>
      <w:bookmarkEnd w:id="18"/>
      <w:bookmarkEnd w:id="19"/>
      <w:bookmarkEnd w:id="20"/>
      <w:bookmarkEnd w:id="21"/>
    </w:p>
    <w:p w14:paraId="510252AE" w14:textId="31D2AE3B" w:rsidR="00E14135" w:rsidRPr="00746F54" w:rsidRDefault="00E14135" w:rsidP="00E14135">
      <w:pPr>
        <w:pStyle w:val="ParaText"/>
        <w:rPr>
          <w:rFonts w:ascii="Arial" w:hAnsi="Arial" w:cs="Arial"/>
          <w:bCs/>
        </w:rPr>
      </w:pPr>
      <w:r w:rsidRPr="00746F54">
        <w:rPr>
          <w:rFonts w:ascii="Arial" w:hAnsi="Arial" w:cs="Arial"/>
          <w:bCs/>
        </w:rPr>
        <w:t xml:space="preserve">The definition of acronyms and words beginning with capitalized letters are given in the </w:t>
      </w:r>
      <w:r w:rsidRPr="00746F54">
        <w:rPr>
          <w:rFonts w:ascii="Arial" w:hAnsi="Arial" w:cs="Arial"/>
          <w:bCs/>
          <w:i/>
          <w:iCs/>
        </w:rPr>
        <w:t>BPM for Definitions &amp; Acronyms</w:t>
      </w:r>
      <w:r w:rsidRPr="00746F54">
        <w:rPr>
          <w:rFonts w:ascii="Arial" w:hAnsi="Arial" w:cs="Arial"/>
          <w:bCs/>
        </w:rPr>
        <w:t>.</w:t>
      </w:r>
      <w:r w:rsidR="00982442" w:rsidRPr="00746F54">
        <w:rPr>
          <w:rFonts w:ascii="Arial" w:hAnsi="Arial" w:cs="Arial"/>
          <w:bCs/>
        </w:rPr>
        <w:t xml:space="preserve">  In addition, this BPM includes the following references:</w:t>
      </w:r>
    </w:p>
    <w:p w14:paraId="1F027273" w14:textId="16BDABDF" w:rsidR="00982442" w:rsidRPr="00746F54" w:rsidRDefault="00982442" w:rsidP="00982442">
      <w:pPr>
        <w:pStyle w:val="ListParagraph"/>
        <w:numPr>
          <w:ilvl w:val="0"/>
          <w:numId w:val="122"/>
        </w:numPr>
        <w:rPr>
          <w:rStyle w:val="Strong"/>
          <w:rFonts w:ascii="Arial" w:hAnsi="Arial" w:cs="Arial"/>
          <w:b w:val="0"/>
        </w:rPr>
      </w:pPr>
      <w:r w:rsidRPr="00746F54">
        <w:rPr>
          <w:rStyle w:val="Strong"/>
          <w:rFonts w:ascii="Arial" w:hAnsi="Arial" w:cs="Arial"/>
        </w:rPr>
        <w:t>Market Operator</w:t>
      </w:r>
      <w:r w:rsidRPr="00746F54">
        <w:rPr>
          <w:rStyle w:val="Strong"/>
          <w:rFonts w:ascii="Arial" w:hAnsi="Arial" w:cs="Arial"/>
          <w:b w:val="0"/>
          <w:bCs w:val="0"/>
        </w:rPr>
        <w:t xml:space="preserve">: </w:t>
      </w:r>
      <w:r w:rsidRPr="00746F54">
        <w:rPr>
          <w:rStyle w:val="Strong"/>
          <w:rFonts w:ascii="Arial" w:hAnsi="Arial" w:cs="Arial"/>
          <w:b w:val="0"/>
        </w:rPr>
        <w:t xml:space="preserve">The term </w:t>
      </w:r>
      <w:r w:rsidR="00584C03" w:rsidRPr="00746F54">
        <w:rPr>
          <w:rStyle w:val="Strong"/>
          <w:rFonts w:ascii="Arial" w:hAnsi="Arial" w:cs="Arial"/>
          <w:b w:val="0"/>
          <w:bCs w:val="0"/>
        </w:rPr>
        <w:t>market operator</w:t>
      </w:r>
      <w:r w:rsidRPr="00746F54">
        <w:rPr>
          <w:rStyle w:val="Strong"/>
          <w:rFonts w:ascii="Arial" w:hAnsi="Arial" w:cs="Arial"/>
          <w:b w:val="0"/>
        </w:rPr>
        <w:t xml:space="preserve"> refers to either the automated market system or a human operator performing manual actions within the market framework. These manual actions may be carried out by personnel from various departments, </w:t>
      </w:r>
      <w:r w:rsidRPr="00746F54">
        <w:rPr>
          <w:rStyle w:val="Strong"/>
          <w:rFonts w:ascii="Arial" w:hAnsi="Arial" w:cs="Arial"/>
          <w:b w:val="0"/>
        </w:rPr>
        <w:lastRenderedPageBreak/>
        <w:t>including Market Operations, Operations Engineering, Market Engineering, Short-Term Forecasting, or other relevant teams.</w:t>
      </w:r>
    </w:p>
    <w:p w14:paraId="6D6D7AC4" w14:textId="05774356" w:rsidR="00982442" w:rsidRPr="00746F54" w:rsidRDefault="00982442" w:rsidP="003C1353">
      <w:pPr>
        <w:pStyle w:val="ListParagraph"/>
        <w:numPr>
          <w:ilvl w:val="0"/>
          <w:numId w:val="122"/>
        </w:numPr>
        <w:rPr>
          <w:rFonts w:ascii="Arial" w:hAnsi="Arial" w:cs="Arial"/>
          <w:bCs/>
        </w:rPr>
      </w:pPr>
      <w:r w:rsidRPr="00746F54">
        <w:rPr>
          <w:rStyle w:val="Strong"/>
          <w:rFonts w:ascii="Arial" w:hAnsi="Arial" w:cs="Arial"/>
        </w:rPr>
        <w:t xml:space="preserve">Market Validator: </w:t>
      </w:r>
      <w:r w:rsidR="007751AF" w:rsidRPr="00746F54">
        <w:rPr>
          <w:rStyle w:val="Strong"/>
          <w:rFonts w:ascii="Arial" w:hAnsi="Arial" w:cs="Arial"/>
          <w:b w:val="0"/>
          <w:bCs w:val="0"/>
        </w:rPr>
        <w:t>The</w:t>
      </w:r>
      <w:r w:rsidRPr="00746F54">
        <w:rPr>
          <w:rStyle w:val="Strong"/>
          <w:rFonts w:ascii="Arial" w:hAnsi="Arial" w:cs="Arial"/>
          <w:b w:val="0"/>
        </w:rPr>
        <w:t xml:space="preserve"> term Market Validator encompasses all activities undertaken by the market validation team, whether performed manually or through automated processes. The procedures for market validation and price correction are governed by Section 35 of the Tariff.</w:t>
      </w:r>
    </w:p>
    <w:p w14:paraId="612AB420" w14:textId="77777777" w:rsidR="00E14135" w:rsidRPr="00746F54" w:rsidRDefault="00E14135" w:rsidP="00E14135">
      <w:pPr>
        <w:pStyle w:val="ParaText"/>
        <w:rPr>
          <w:rFonts w:ascii="Arial" w:hAnsi="Arial" w:cs="Arial"/>
        </w:rPr>
      </w:pPr>
      <w:r w:rsidRPr="00746F54">
        <w:rPr>
          <w:rFonts w:ascii="Arial" w:hAnsi="Arial" w:cs="Arial"/>
        </w:rPr>
        <w:t>Other reference information related to this BPM includes:</w:t>
      </w:r>
    </w:p>
    <w:p w14:paraId="3E4D2470" w14:textId="77777777" w:rsidR="00E14135" w:rsidRPr="00746F54" w:rsidRDefault="00E14135" w:rsidP="00E14135">
      <w:pPr>
        <w:pStyle w:val="Bullet1"/>
        <w:rPr>
          <w:rFonts w:ascii="Arial" w:hAnsi="Arial" w:cs="Arial"/>
        </w:rPr>
      </w:pPr>
      <w:r w:rsidRPr="00746F54">
        <w:rPr>
          <w:rFonts w:ascii="Arial" w:hAnsi="Arial" w:cs="Arial"/>
        </w:rPr>
        <w:t>Other ISO BPMs</w:t>
      </w:r>
    </w:p>
    <w:p w14:paraId="307BBD59" w14:textId="546F9B10" w:rsidR="00E14135" w:rsidRPr="00746F54" w:rsidRDefault="00262AD8" w:rsidP="00E14135">
      <w:pPr>
        <w:pStyle w:val="Bullet1HRt"/>
        <w:spacing w:after="0"/>
        <w:rPr>
          <w:rFonts w:ascii="Arial" w:hAnsi="Arial" w:cs="Arial"/>
        </w:rPr>
      </w:pPr>
      <w:r w:rsidRPr="00746F54">
        <w:rPr>
          <w:rFonts w:ascii="Arial" w:hAnsi="Arial" w:cs="Arial"/>
        </w:rPr>
        <w:t>CA</w:t>
      </w:r>
      <w:r w:rsidR="00E14135" w:rsidRPr="00746F54">
        <w:rPr>
          <w:rFonts w:ascii="Arial" w:hAnsi="Arial" w:cs="Arial"/>
        </w:rPr>
        <w:t>ISO Tariff</w:t>
      </w:r>
    </w:p>
    <w:p w14:paraId="161BBEF3" w14:textId="42F17A05" w:rsidR="00E14135" w:rsidRPr="00746F54" w:rsidRDefault="00E14135" w:rsidP="00E14135">
      <w:pPr>
        <w:pStyle w:val="Bullet1HRt"/>
        <w:rPr>
          <w:rFonts w:ascii="Arial" w:hAnsi="Arial" w:cs="Arial"/>
        </w:rPr>
      </w:pPr>
      <w:r w:rsidRPr="00746F54">
        <w:rPr>
          <w:rFonts w:ascii="Arial" w:hAnsi="Arial" w:cs="Arial"/>
        </w:rPr>
        <w:t>EDAM Final Proposal</w:t>
      </w:r>
      <w:r w:rsidR="00262AD8" w:rsidRPr="00746F54">
        <w:rPr>
          <w:rFonts w:ascii="Arial" w:hAnsi="Arial" w:cs="Arial"/>
        </w:rPr>
        <w:t>, December 7, 2022</w:t>
      </w:r>
      <w:r w:rsidRPr="00746F54">
        <w:rPr>
          <w:rFonts w:ascii="Arial" w:hAnsi="Arial" w:cs="Arial"/>
        </w:rPr>
        <w:t xml:space="preserve"> </w:t>
      </w:r>
    </w:p>
    <w:p w14:paraId="21B83836" w14:textId="61EED7ED" w:rsidR="00E14135" w:rsidRPr="00746F54" w:rsidRDefault="00E14135" w:rsidP="00E14135">
      <w:pPr>
        <w:pStyle w:val="ParaText"/>
        <w:rPr>
          <w:rFonts w:ascii="Arial" w:hAnsi="Arial" w:cs="Arial"/>
        </w:rPr>
      </w:pPr>
      <w:r w:rsidRPr="00746F54">
        <w:rPr>
          <w:rFonts w:ascii="Arial" w:hAnsi="Arial" w:cs="Arial"/>
        </w:rPr>
        <w:t>CAISO posts current versions of these documents on its website.</w:t>
      </w:r>
    </w:p>
    <w:p w14:paraId="2B2071BC" w14:textId="0DDDA2D3" w:rsidR="00E14135" w:rsidRPr="00746F54" w:rsidRDefault="008F24DA" w:rsidP="00E14135">
      <w:pPr>
        <w:pStyle w:val="Heading1"/>
        <w:rPr>
          <w:rFonts w:ascii="Arial" w:hAnsi="Arial" w:cs="Arial"/>
        </w:rPr>
      </w:pPr>
      <w:bookmarkStart w:id="22" w:name="_Toc209781026"/>
      <w:bookmarkStart w:id="23" w:name="_Toc211337863"/>
      <w:bookmarkStart w:id="24" w:name="_Hlk204780594"/>
      <w:bookmarkStart w:id="25" w:name="_Toc228963676"/>
      <w:bookmarkEnd w:id="22"/>
      <w:r w:rsidRPr="00746F54">
        <w:rPr>
          <w:rFonts w:ascii="Arial" w:hAnsi="Arial" w:cs="Arial"/>
        </w:rPr>
        <w:t xml:space="preserve">Market </w:t>
      </w:r>
      <w:r w:rsidR="00262AD8" w:rsidRPr="00746F54">
        <w:rPr>
          <w:rFonts w:ascii="Arial" w:hAnsi="Arial" w:cs="Arial"/>
        </w:rPr>
        <w:t>Background</w:t>
      </w:r>
      <w:bookmarkEnd w:id="23"/>
      <w:bookmarkEnd w:id="25"/>
    </w:p>
    <w:bookmarkEnd w:id="24"/>
    <w:p w14:paraId="62CE2A82" w14:textId="2859AC62" w:rsidR="00BB7E6A" w:rsidRPr="00746F54" w:rsidRDefault="00BB7E6A" w:rsidP="00E14135">
      <w:pPr>
        <w:pStyle w:val="BPM"/>
        <w:rPr>
          <w:rFonts w:ascii="Arial" w:hAnsi="Arial"/>
        </w:rPr>
      </w:pPr>
      <w:r w:rsidRPr="00746F54">
        <w:rPr>
          <w:rFonts w:ascii="Arial" w:hAnsi="Arial"/>
        </w:rPr>
        <w:t xml:space="preserve"> In this section you will find the following information:</w:t>
      </w:r>
    </w:p>
    <w:p w14:paraId="77A587BC" w14:textId="2DC9CFCB" w:rsidR="00BB7E6A" w:rsidRPr="00746F54" w:rsidRDefault="00BB7E6A" w:rsidP="00BB7E6A">
      <w:pPr>
        <w:pStyle w:val="BPM"/>
        <w:numPr>
          <w:ilvl w:val="0"/>
          <w:numId w:val="84"/>
        </w:numPr>
        <w:rPr>
          <w:rFonts w:ascii="Arial" w:hAnsi="Arial"/>
        </w:rPr>
      </w:pPr>
      <w:r w:rsidRPr="00746F54">
        <w:rPr>
          <w:rFonts w:ascii="Arial" w:hAnsi="Arial"/>
        </w:rPr>
        <w:t>Summary of EDAM processes</w:t>
      </w:r>
    </w:p>
    <w:p w14:paraId="66CDB4F9" w14:textId="6B6C8326" w:rsidR="00BB7E6A" w:rsidRPr="00746F54" w:rsidRDefault="00BB7E6A" w:rsidP="00BB7E6A">
      <w:pPr>
        <w:pStyle w:val="BPM"/>
        <w:numPr>
          <w:ilvl w:val="0"/>
          <w:numId w:val="84"/>
        </w:numPr>
        <w:rPr>
          <w:rFonts w:ascii="Arial" w:hAnsi="Arial"/>
        </w:rPr>
      </w:pPr>
      <w:r w:rsidRPr="00746F54">
        <w:rPr>
          <w:rFonts w:ascii="Arial" w:hAnsi="Arial"/>
        </w:rPr>
        <w:t>Summary of distinctive EDAM features</w:t>
      </w:r>
    </w:p>
    <w:p w14:paraId="1C993B3D" w14:textId="4E656397" w:rsidR="00E625BC" w:rsidRPr="00746F54" w:rsidRDefault="00E14135" w:rsidP="00E14135">
      <w:pPr>
        <w:pStyle w:val="BPM"/>
        <w:rPr>
          <w:rFonts w:ascii="Arial" w:hAnsi="Arial"/>
        </w:rPr>
      </w:pPr>
      <w:r w:rsidRPr="00746F54">
        <w:rPr>
          <w:rFonts w:ascii="Arial" w:hAnsi="Arial"/>
        </w:rPr>
        <w:t xml:space="preserve">EDAM is a voluntary day-ahead electricity market </w:t>
      </w:r>
      <w:r w:rsidR="00604F46" w:rsidRPr="00746F54">
        <w:rPr>
          <w:rFonts w:ascii="Arial" w:hAnsi="Arial"/>
        </w:rPr>
        <w:t xml:space="preserve">designed </w:t>
      </w:r>
      <w:r w:rsidRPr="00746F54">
        <w:rPr>
          <w:rFonts w:ascii="Arial" w:hAnsi="Arial"/>
        </w:rPr>
        <w:t xml:space="preserve">to deliver significant economic, environmental, and reliability benefits to participants across the West. </w:t>
      </w:r>
      <w:r w:rsidR="00E625BC" w:rsidRPr="00746F54">
        <w:rPr>
          <w:rFonts w:ascii="Arial" w:hAnsi="Arial"/>
        </w:rPr>
        <w:t xml:space="preserve"> Balancing authority areas participating in the W</w:t>
      </w:r>
      <w:r w:rsidR="00604F46" w:rsidRPr="00746F54">
        <w:rPr>
          <w:rFonts w:ascii="Arial" w:hAnsi="Arial"/>
        </w:rPr>
        <w:t>estern Energy Imbalance Market (WEIM)</w:t>
      </w:r>
      <w:r w:rsidR="000759DD">
        <w:rPr>
          <w:rFonts w:ascii="Arial" w:hAnsi="Arial"/>
        </w:rPr>
        <w:t>,</w:t>
      </w:r>
      <w:r w:rsidR="00604F46" w:rsidRPr="00746F54">
        <w:rPr>
          <w:rFonts w:ascii="Arial" w:hAnsi="Arial"/>
        </w:rPr>
        <w:t xml:space="preserve"> </w:t>
      </w:r>
      <w:r w:rsidR="00E625BC" w:rsidRPr="00746F54">
        <w:rPr>
          <w:rFonts w:ascii="Arial" w:hAnsi="Arial"/>
        </w:rPr>
        <w:t xml:space="preserve">a real-time market </w:t>
      </w:r>
      <w:r w:rsidR="00604F46" w:rsidRPr="00746F54">
        <w:rPr>
          <w:rFonts w:ascii="Arial" w:hAnsi="Arial"/>
        </w:rPr>
        <w:t xml:space="preserve">that has been operating in </w:t>
      </w:r>
      <w:r w:rsidR="00E625BC" w:rsidRPr="00746F54">
        <w:rPr>
          <w:rFonts w:ascii="Arial" w:hAnsi="Arial"/>
        </w:rPr>
        <w:t>the West</w:t>
      </w:r>
      <w:r w:rsidR="00604F46" w:rsidRPr="00746F54">
        <w:rPr>
          <w:rFonts w:ascii="Arial" w:hAnsi="Arial"/>
        </w:rPr>
        <w:t xml:space="preserve"> since 2014, </w:t>
      </w:r>
      <w:r w:rsidR="00E625BC" w:rsidRPr="00746F54">
        <w:rPr>
          <w:rFonts w:ascii="Arial" w:hAnsi="Arial"/>
        </w:rPr>
        <w:t>can extend their participation to EDAM and thus participate in both</w:t>
      </w:r>
      <w:r w:rsidR="00933991">
        <w:rPr>
          <w:rFonts w:ascii="Arial" w:hAnsi="Arial"/>
        </w:rPr>
        <w:t xml:space="preserve"> the real-time and day-ahead</w:t>
      </w:r>
      <w:r w:rsidR="00E625BC" w:rsidRPr="00746F54">
        <w:rPr>
          <w:rFonts w:ascii="Arial" w:hAnsi="Arial"/>
        </w:rPr>
        <w:t xml:space="preserve"> </w:t>
      </w:r>
      <w:r w:rsidR="00604F46" w:rsidRPr="00746F54">
        <w:rPr>
          <w:rFonts w:ascii="Arial" w:hAnsi="Arial"/>
        </w:rPr>
        <w:t xml:space="preserve">markets. </w:t>
      </w:r>
      <w:r w:rsidR="00E625BC" w:rsidRPr="00746F54">
        <w:rPr>
          <w:rFonts w:ascii="Arial" w:hAnsi="Arial"/>
        </w:rPr>
        <w:t xml:space="preserve"> EDAM builds on the </w:t>
      </w:r>
      <w:r w:rsidR="00481F13" w:rsidRPr="00746F54">
        <w:rPr>
          <w:rFonts w:ascii="Arial" w:hAnsi="Arial"/>
        </w:rPr>
        <w:t xml:space="preserve">significant cost savings </w:t>
      </w:r>
      <w:r w:rsidR="00604F46" w:rsidRPr="00746F54">
        <w:rPr>
          <w:rFonts w:ascii="Arial" w:hAnsi="Arial"/>
        </w:rPr>
        <w:t xml:space="preserve">and </w:t>
      </w:r>
      <w:r w:rsidR="00E625BC" w:rsidRPr="00746F54">
        <w:rPr>
          <w:rFonts w:ascii="Arial" w:hAnsi="Arial"/>
        </w:rPr>
        <w:t xml:space="preserve">demonstrable benefits of the WEIM to increase regional coordination, meet demand cost-effectively, </w:t>
      </w:r>
      <w:r w:rsidR="00604F46" w:rsidRPr="00746F54">
        <w:rPr>
          <w:rFonts w:ascii="Arial" w:hAnsi="Arial"/>
        </w:rPr>
        <w:t xml:space="preserve">enhance </w:t>
      </w:r>
      <w:r w:rsidR="00E625BC" w:rsidRPr="00746F54">
        <w:rPr>
          <w:rFonts w:ascii="Arial" w:hAnsi="Arial"/>
        </w:rPr>
        <w:t xml:space="preserve">grid reliability through access to a diverse resource fleet, and support state policy goals through renewable resource integration.  </w:t>
      </w:r>
    </w:p>
    <w:p w14:paraId="0B14A53C" w14:textId="0818B2C7" w:rsidR="00777000" w:rsidRPr="00746F54" w:rsidRDefault="00F30478" w:rsidP="00E14135">
      <w:pPr>
        <w:pStyle w:val="BPM"/>
        <w:rPr>
          <w:rFonts w:ascii="Arial" w:hAnsi="Arial"/>
        </w:rPr>
      </w:pPr>
      <w:r w:rsidRPr="00746F54">
        <w:rPr>
          <w:rFonts w:ascii="Arial" w:hAnsi="Arial"/>
        </w:rPr>
        <w:t>The EDAM will optimize commitment of diverse supply, supported by transmission interconnectivity, to position the market footprint to meet</w:t>
      </w:r>
      <w:r w:rsidR="00356747" w:rsidRPr="00746F54">
        <w:rPr>
          <w:rFonts w:ascii="Arial" w:hAnsi="Arial"/>
        </w:rPr>
        <w:t xml:space="preserve"> next</w:t>
      </w:r>
      <w:r w:rsidR="00481F13" w:rsidRPr="00746F54">
        <w:rPr>
          <w:rFonts w:ascii="Arial" w:hAnsi="Arial"/>
        </w:rPr>
        <w:t>-</w:t>
      </w:r>
      <w:r w:rsidR="00356747" w:rsidRPr="00746F54">
        <w:rPr>
          <w:rFonts w:ascii="Arial" w:hAnsi="Arial"/>
        </w:rPr>
        <w:t>day forecasted demand cost</w:t>
      </w:r>
      <w:r w:rsidR="00481F13" w:rsidRPr="00746F54">
        <w:rPr>
          <w:rFonts w:ascii="Arial" w:hAnsi="Arial"/>
        </w:rPr>
        <w:t>-</w:t>
      </w:r>
      <w:r w:rsidR="00356747" w:rsidRPr="00746F54">
        <w:rPr>
          <w:rFonts w:ascii="Arial" w:hAnsi="Arial"/>
        </w:rPr>
        <w:t xml:space="preserve">effectively and </w:t>
      </w:r>
      <w:r w:rsidR="00A960C4" w:rsidRPr="00746F54">
        <w:rPr>
          <w:rFonts w:ascii="Arial" w:hAnsi="Arial"/>
        </w:rPr>
        <w:t>derive</w:t>
      </w:r>
      <w:r w:rsidR="00356747" w:rsidRPr="00746F54">
        <w:rPr>
          <w:rFonts w:ascii="Arial" w:hAnsi="Arial"/>
        </w:rPr>
        <w:t xml:space="preserve"> significant economic benefits for its participants.  </w:t>
      </w:r>
      <w:r w:rsidR="009754B5" w:rsidRPr="00746F54">
        <w:rPr>
          <w:rFonts w:ascii="Arial" w:hAnsi="Arial"/>
        </w:rPr>
        <w:t>Within the EDAM balancing area, all resources participate and operate through the market by submitting economic bids or self-schedules in both the Day-Ahead Market and the Real-Time Market.  Similarly, forecasted demand within the EDAM balancing area can be economically bid or self-scheduled in the Day-Ahead Market.</w:t>
      </w:r>
      <w:r w:rsidR="00356747" w:rsidRPr="00746F54">
        <w:rPr>
          <w:rFonts w:ascii="Arial" w:hAnsi="Arial"/>
        </w:rPr>
        <w:t xml:space="preserve">  </w:t>
      </w:r>
    </w:p>
    <w:p w14:paraId="7C11BB6A" w14:textId="09F8771C" w:rsidR="00B84C5E" w:rsidRPr="00746F54" w:rsidRDefault="00777000" w:rsidP="00B1710C">
      <w:pPr>
        <w:pStyle w:val="BPM"/>
        <w:rPr>
          <w:rFonts w:ascii="Arial" w:hAnsi="Arial"/>
        </w:rPr>
      </w:pPr>
      <w:r w:rsidRPr="00746F54">
        <w:rPr>
          <w:rFonts w:ascii="Arial" w:hAnsi="Arial"/>
        </w:rPr>
        <w:lastRenderedPageBreak/>
        <w:t xml:space="preserve">The EDAM will support and enhance grid reliability of participating balancing authority areas.  Through robust supply bids across the EDAM footprint to serve forecasted demand, the Day-Ahead Market will position the market footprint </w:t>
      </w:r>
      <w:r w:rsidR="00481F13" w:rsidRPr="00746F54">
        <w:rPr>
          <w:rFonts w:ascii="Arial" w:hAnsi="Arial"/>
        </w:rPr>
        <w:t xml:space="preserve">most </w:t>
      </w:r>
      <w:r w:rsidRPr="00746F54">
        <w:rPr>
          <w:rFonts w:ascii="Arial" w:hAnsi="Arial"/>
        </w:rPr>
        <w:t>effectively to meet next</w:t>
      </w:r>
      <w:r w:rsidR="00D018D9" w:rsidRPr="00746F54">
        <w:rPr>
          <w:rFonts w:ascii="Arial" w:hAnsi="Arial"/>
        </w:rPr>
        <w:t>-</w:t>
      </w:r>
      <w:r w:rsidRPr="00746F54">
        <w:rPr>
          <w:rFonts w:ascii="Arial" w:hAnsi="Arial"/>
        </w:rPr>
        <w:t xml:space="preserve">day expected grid conditions.  </w:t>
      </w:r>
      <w:r w:rsidR="00981D6A" w:rsidRPr="00746F54">
        <w:rPr>
          <w:rFonts w:ascii="Arial" w:hAnsi="Arial"/>
        </w:rPr>
        <w:t>EDAM</w:t>
      </w:r>
      <w:r w:rsidR="00D018D9" w:rsidRPr="00746F54">
        <w:rPr>
          <w:rFonts w:ascii="Arial" w:hAnsi="Arial"/>
        </w:rPr>
        <w:t xml:space="preserve"> entities</w:t>
      </w:r>
      <w:r w:rsidRPr="00746F54">
        <w:rPr>
          <w:rFonts w:ascii="Arial" w:hAnsi="Arial"/>
        </w:rPr>
        <w:t xml:space="preserve"> </w:t>
      </w:r>
      <w:r w:rsidR="00FA39A0" w:rsidRPr="00746F54">
        <w:rPr>
          <w:rFonts w:ascii="Arial" w:hAnsi="Arial"/>
        </w:rPr>
        <w:t>and the market</w:t>
      </w:r>
      <w:r w:rsidRPr="00746F54">
        <w:rPr>
          <w:rFonts w:ascii="Arial" w:hAnsi="Arial"/>
        </w:rPr>
        <w:t xml:space="preserve"> will also have broader </w:t>
      </w:r>
      <w:r w:rsidR="00FD0307" w:rsidRPr="00746F54">
        <w:rPr>
          <w:rFonts w:ascii="Arial" w:hAnsi="Arial"/>
        </w:rPr>
        <w:t>operational</w:t>
      </w:r>
      <w:r w:rsidRPr="00746F54">
        <w:rPr>
          <w:rFonts w:ascii="Arial" w:hAnsi="Arial"/>
        </w:rPr>
        <w:t xml:space="preserve"> visibility</w:t>
      </w:r>
      <w:r w:rsidR="00D018D9" w:rsidRPr="00746F54">
        <w:rPr>
          <w:rFonts w:ascii="Arial" w:hAnsi="Arial"/>
        </w:rPr>
        <w:t xml:space="preserve"> and situational awareness</w:t>
      </w:r>
      <w:r w:rsidRPr="00746F54">
        <w:rPr>
          <w:rFonts w:ascii="Arial" w:hAnsi="Arial"/>
        </w:rPr>
        <w:t xml:space="preserve"> of grid conditions </w:t>
      </w:r>
      <w:r w:rsidR="00D018D9" w:rsidRPr="00746F54">
        <w:rPr>
          <w:rFonts w:ascii="Arial" w:hAnsi="Arial"/>
        </w:rPr>
        <w:t xml:space="preserve">in the </w:t>
      </w:r>
      <w:r w:rsidR="00933991">
        <w:rPr>
          <w:rFonts w:ascii="Arial" w:hAnsi="Arial"/>
        </w:rPr>
        <w:t>d</w:t>
      </w:r>
      <w:r w:rsidR="00750440" w:rsidRPr="00746F54">
        <w:rPr>
          <w:rFonts w:ascii="Arial" w:hAnsi="Arial"/>
        </w:rPr>
        <w:t>ay-</w:t>
      </w:r>
      <w:r w:rsidR="00933991">
        <w:rPr>
          <w:rFonts w:ascii="Arial" w:hAnsi="Arial"/>
        </w:rPr>
        <w:t>a</w:t>
      </w:r>
      <w:r w:rsidR="00750440" w:rsidRPr="00746F54">
        <w:rPr>
          <w:rFonts w:ascii="Arial" w:hAnsi="Arial"/>
        </w:rPr>
        <w:t>head</w:t>
      </w:r>
      <w:r w:rsidR="00A960C4" w:rsidRPr="00746F54">
        <w:rPr>
          <w:rFonts w:ascii="Arial" w:hAnsi="Arial"/>
        </w:rPr>
        <w:t xml:space="preserve"> </w:t>
      </w:r>
      <w:r w:rsidR="00D018D9" w:rsidRPr="00746F54">
        <w:rPr>
          <w:rFonts w:ascii="Arial" w:hAnsi="Arial"/>
        </w:rPr>
        <w:t xml:space="preserve">timeframe, </w:t>
      </w:r>
      <w:r w:rsidRPr="00746F54">
        <w:rPr>
          <w:rFonts w:ascii="Arial" w:hAnsi="Arial"/>
        </w:rPr>
        <w:t>including expected load conditions and resource availability</w:t>
      </w:r>
      <w:r w:rsidR="00D018D9" w:rsidRPr="00746F54">
        <w:rPr>
          <w:rFonts w:ascii="Arial" w:hAnsi="Arial"/>
        </w:rPr>
        <w:t xml:space="preserve">, improving the ability to respond to these conditions and reducing or mitigating the risk of emergency conditions.  </w:t>
      </w:r>
      <w:r w:rsidR="00045170" w:rsidRPr="00746F54">
        <w:rPr>
          <w:rFonts w:ascii="Arial" w:hAnsi="Arial"/>
        </w:rPr>
        <w:t>Additionally, the EDAM introduces a new reliability</w:t>
      </w:r>
      <w:r w:rsidR="00981D6A" w:rsidRPr="00746F54">
        <w:rPr>
          <w:rFonts w:ascii="Arial" w:hAnsi="Arial"/>
        </w:rPr>
        <w:t>-based</w:t>
      </w:r>
      <w:r w:rsidR="00045170" w:rsidRPr="00746F54">
        <w:rPr>
          <w:rFonts w:ascii="Arial" w:hAnsi="Arial"/>
        </w:rPr>
        <w:t xml:space="preserve"> product – imbalance reserves – which make</w:t>
      </w:r>
      <w:r w:rsidR="00933991">
        <w:rPr>
          <w:rFonts w:ascii="Arial" w:hAnsi="Arial"/>
        </w:rPr>
        <w:t>s</w:t>
      </w:r>
      <w:r w:rsidR="00045170" w:rsidRPr="00746F54">
        <w:rPr>
          <w:rFonts w:ascii="Arial" w:hAnsi="Arial"/>
        </w:rPr>
        <w:t xml:space="preserve"> available </w:t>
      </w:r>
      <w:r w:rsidR="00933991">
        <w:rPr>
          <w:rFonts w:ascii="Arial" w:hAnsi="Arial"/>
        </w:rPr>
        <w:t xml:space="preserve">and compensates </w:t>
      </w:r>
      <w:r w:rsidR="00045170" w:rsidRPr="00746F54">
        <w:rPr>
          <w:rFonts w:ascii="Arial" w:hAnsi="Arial"/>
        </w:rPr>
        <w:t>flexible resources to manage uncertainty between the day-ahead and real-time driven by load forecasts and renewable resource forecasted output, allowing the market and footprint to effectively manage reliability if uncertainty materializes.</w:t>
      </w:r>
      <w:r w:rsidR="00D018D9" w:rsidRPr="00746F54">
        <w:rPr>
          <w:rFonts w:ascii="Arial" w:hAnsi="Arial"/>
        </w:rPr>
        <w:t xml:space="preserve">    </w:t>
      </w:r>
      <w:r w:rsidR="00B84C5E" w:rsidRPr="00746F54">
        <w:rPr>
          <w:rFonts w:ascii="Arial" w:hAnsi="Arial"/>
        </w:rPr>
        <w:br w:type="page"/>
      </w:r>
    </w:p>
    <w:p w14:paraId="3237EC8D" w14:textId="435B8EFE" w:rsidR="00F05E31" w:rsidRPr="00746F54" w:rsidRDefault="00B84C5E" w:rsidP="00BF47AA">
      <w:pPr>
        <w:pStyle w:val="Heading2"/>
        <w:numPr>
          <w:ilvl w:val="1"/>
          <w:numId w:val="83"/>
        </w:numPr>
        <w:rPr>
          <w:rFonts w:ascii="Arial" w:hAnsi="Arial" w:cs="Arial"/>
        </w:rPr>
      </w:pPr>
      <w:bookmarkStart w:id="26" w:name="_Toc211337864"/>
      <w:bookmarkStart w:id="27" w:name="_Toc228963677"/>
      <w:r w:rsidRPr="00746F54">
        <w:rPr>
          <w:rFonts w:ascii="Arial" w:hAnsi="Arial" w:cs="Arial"/>
        </w:rPr>
        <w:lastRenderedPageBreak/>
        <w:t xml:space="preserve">Structure of the Extended </w:t>
      </w:r>
      <w:r w:rsidR="00750440" w:rsidRPr="00746F54">
        <w:rPr>
          <w:rFonts w:ascii="Arial" w:hAnsi="Arial" w:cs="Arial"/>
        </w:rPr>
        <w:t>Day-Ahead</w:t>
      </w:r>
      <w:r w:rsidR="00175724" w:rsidRPr="00746F54">
        <w:rPr>
          <w:rFonts w:ascii="Arial" w:hAnsi="Arial" w:cs="Arial"/>
        </w:rPr>
        <w:t xml:space="preserve"> </w:t>
      </w:r>
      <w:r w:rsidRPr="00746F54">
        <w:rPr>
          <w:rFonts w:ascii="Arial" w:hAnsi="Arial" w:cs="Arial"/>
        </w:rPr>
        <w:t>Market</w:t>
      </w:r>
      <w:bookmarkEnd w:id="26"/>
      <w:bookmarkEnd w:id="27"/>
      <w:r w:rsidRPr="00746F54">
        <w:rPr>
          <w:rFonts w:ascii="Arial" w:hAnsi="Arial" w:cs="Arial"/>
        </w:rPr>
        <w:t xml:space="preserve"> </w:t>
      </w:r>
    </w:p>
    <w:p w14:paraId="62CA46CA" w14:textId="42CB76BF" w:rsidR="009B05DC" w:rsidRPr="00746F54" w:rsidRDefault="009B05DC" w:rsidP="009B05DC">
      <w:pPr>
        <w:rPr>
          <w:rFonts w:ascii="Arial" w:hAnsi="Arial" w:cs="Arial"/>
          <w:u w:val="single"/>
        </w:rPr>
      </w:pPr>
      <w:r w:rsidRPr="00746F54">
        <w:rPr>
          <w:rFonts w:ascii="Arial" w:hAnsi="Arial" w:cs="Arial"/>
          <w:u w:val="single"/>
        </w:rPr>
        <w:t xml:space="preserve">Reference </w:t>
      </w:r>
      <w:r w:rsidR="008625DC" w:rsidRPr="00746F54">
        <w:rPr>
          <w:rFonts w:ascii="Arial" w:hAnsi="Arial" w:cs="Arial"/>
          <w:u w:val="single"/>
        </w:rPr>
        <w:t xml:space="preserve">Tariff </w:t>
      </w:r>
      <w:r w:rsidRPr="00746F54">
        <w:rPr>
          <w:rFonts w:ascii="Arial" w:hAnsi="Arial" w:cs="Arial"/>
          <w:u w:val="single"/>
        </w:rPr>
        <w:t>Section 33</w:t>
      </w:r>
    </w:p>
    <w:p w14:paraId="7CF566B3" w14:textId="613DE0B7" w:rsidR="00F05E31" w:rsidRPr="00746F54" w:rsidRDefault="00B84C5E" w:rsidP="00E14135">
      <w:pPr>
        <w:pStyle w:val="BPM"/>
        <w:rPr>
          <w:rFonts w:ascii="Arial" w:eastAsia="Calibri" w:hAnsi="Arial"/>
        </w:rPr>
      </w:pPr>
      <w:r w:rsidRPr="00746F54">
        <w:rPr>
          <w:rFonts w:ascii="Arial" w:eastAsia="Calibri" w:hAnsi="Arial"/>
        </w:rPr>
        <w:t>As provided in</w:t>
      </w:r>
      <w:r w:rsidR="00F05E31" w:rsidRPr="00746F54">
        <w:rPr>
          <w:rFonts w:ascii="Arial" w:eastAsia="Calibri" w:hAnsi="Arial"/>
        </w:rPr>
        <w:t xml:space="preserve"> Section 33 of the ISO Tariff, the CAISO</w:t>
      </w:r>
      <w:r w:rsidR="00684498" w:rsidRPr="00746F54">
        <w:rPr>
          <w:rFonts w:ascii="Arial" w:eastAsia="Calibri" w:hAnsi="Arial"/>
        </w:rPr>
        <w:t>, acting as the independent market operator</w:t>
      </w:r>
      <w:proofErr w:type="gramStart"/>
      <w:r w:rsidR="00684498" w:rsidRPr="00746F54">
        <w:rPr>
          <w:rFonts w:ascii="Arial" w:eastAsia="Calibri" w:hAnsi="Arial"/>
        </w:rPr>
        <w:t xml:space="preserve">, </w:t>
      </w:r>
      <w:r w:rsidR="008B0A86">
        <w:rPr>
          <w:rFonts w:ascii="Arial" w:eastAsia="Calibri" w:hAnsi="Arial"/>
        </w:rPr>
        <w:t xml:space="preserve">the </w:t>
      </w:r>
      <w:r w:rsidR="00632978" w:rsidRPr="00746F54">
        <w:rPr>
          <w:rFonts w:ascii="Arial" w:eastAsia="Calibri" w:hAnsi="Arial"/>
        </w:rPr>
        <w:t>EDAM</w:t>
      </w:r>
      <w:proofErr w:type="gramEnd"/>
      <w:r w:rsidR="00632978" w:rsidRPr="00746F54">
        <w:rPr>
          <w:rFonts w:ascii="Arial" w:eastAsia="Calibri" w:hAnsi="Arial"/>
        </w:rPr>
        <w:t xml:space="preserve"> extends </w:t>
      </w:r>
      <w:r w:rsidR="00F05E31" w:rsidRPr="00746F54">
        <w:rPr>
          <w:rFonts w:ascii="Arial" w:eastAsia="Calibri" w:hAnsi="Arial"/>
        </w:rPr>
        <w:t xml:space="preserve">operation and </w:t>
      </w:r>
      <w:r w:rsidR="004513BF" w:rsidRPr="00746F54">
        <w:rPr>
          <w:rFonts w:ascii="Arial" w:eastAsia="Calibri" w:hAnsi="Arial"/>
        </w:rPr>
        <w:t>s</w:t>
      </w:r>
      <w:r w:rsidR="00F05E31" w:rsidRPr="00746F54">
        <w:rPr>
          <w:rFonts w:ascii="Arial" w:eastAsia="Calibri" w:hAnsi="Arial"/>
        </w:rPr>
        <w:t xml:space="preserve">ettlement of the Day-Ahead Market in an EIM Entity Balancing Authority Area for which the Balancing Authority executes an EDAM Addendum to EIM Entity Agreement with the CAISO. </w:t>
      </w:r>
      <w:r w:rsidRPr="00746F54">
        <w:rPr>
          <w:rFonts w:ascii="Arial" w:eastAsia="Calibri" w:hAnsi="Arial"/>
        </w:rPr>
        <w:t xml:space="preserve"> </w:t>
      </w:r>
      <w:r w:rsidR="00800CAE" w:rsidRPr="00746F54">
        <w:rPr>
          <w:rFonts w:ascii="Arial" w:eastAsia="Calibri" w:hAnsi="Arial"/>
        </w:rPr>
        <w:t>Only EIM Entities may be</w:t>
      </w:r>
      <w:r w:rsidR="008B0A86">
        <w:rPr>
          <w:rFonts w:ascii="Arial" w:eastAsia="Calibri" w:hAnsi="Arial"/>
        </w:rPr>
        <w:t>come</w:t>
      </w:r>
      <w:r w:rsidR="00800CAE" w:rsidRPr="00746F54">
        <w:rPr>
          <w:rFonts w:ascii="Arial" w:eastAsia="Calibri" w:hAnsi="Arial"/>
        </w:rPr>
        <w:t xml:space="preserve"> EDAM Entities, while EIM Entities</w:t>
      </w:r>
      <w:r w:rsidR="00800CAE" w:rsidRPr="00746F54">
        <w:rPr>
          <w:rFonts w:ascii="Arial" w:hAnsi="Arial"/>
        </w:rPr>
        <w:t xml:space="preserve"> </w:t>
      </w:r>
      <w:r w:rsidR="00800CAE" w:rsidRPr="00746F54">
        <w:rPr>
          <w:rFonts w:ascii="Arial" w:eastAsia="Calibri" w:hAnsi="Arial"/>
        </w:rPr>
        <w:t>who do not become EDAM Entities will have no obligation to participate in the Extended Day-Ahead Market and may continue to participate solely in the Energy Imbalance Market.</w:t>
      </w:r>
      <w:r w:rsidRPr="00746F54">
        <w:rPr>
          <w:rFonts w:ascii="Arial" w:eastAsia="Calibri" w:hAnsi="Arial"/>
        </w:rPr>
        <w:t xml:space="preserve">  </w:t>
      </w:r>
      <w:bookmarkStart w:id="28" w:name="_Hlk210045496"/>
      <w:r w:rsidRPr="00746F54">
        <w:rPr>
          <w:rFonts w:ascii="Arial" w:eastAsia="Calibri" w:hAnsi="Arial"/>
        </w:rPr>
        <w:t xml:space="preserve">Consistent with Section 27 of the ISO Tariff, the ISO Balancing Authority Area (“CISO BAA”) will participate as a balancing authority in the EDAM Area.  </w:t>
      </w:r>
      <w:bookmarkEnd w:id="28"/>
      <w:r w:rsidR="001366F2" w:rsidRPr="00746F54">
        <w:rPr>
          <w:rFonts w:ascii="Arial" w:eastAsia="Calibri" w:hAnsi="Arial"/>
        </w:rPr>
        <w:t>Further details about the CISO BAA participation are set forth in the CISO</w:t>
      </w:r>
      <w:r w:rsidR="00A307FD" w:rsidRPr="00746F54">
        <w:rPr>
          <w:rFonts w:ascii="Arial" w:eastAsia="Calibri" w:hAnsi="Arial"/>
        </w:rPr>
        <w:t xml:space="preserve"> BAA Supplement to this business practice manual.  </w:t>
      </w:r>
    </w:p>
    <w:p w14:paraId="24360ABB" w14:textId="7FF77E2E" w:rsidR="00F05E31" w:rsidRPr="00746F54" w:rsidRDefault="00800CAE" w:rsidP="005264B9">
      <w:pPr>
        <w:pStyle w:val="Heading2"/>
        <w:rPr>
          <w:rFonts w:ascii="Arial" w:eastAsia="Calibri" w:hAnsi="Arial" w:cs="Arial"/>
        </w:rPr>
      </w:pPr>
      <w:bookmarkStart w:id="29" w:name="_Toc211337865"/>
      <w:bookmarkStart w:id="30" w:name="_Toc228963678"/>
      <w:r w:rsidRPr="00746F54">
        <w:rPr>
          <w:rFonts w:ascii="Arial" w:hAnsi="Arial" w:cs="Arial"/>
        </w:rPr>
        <w:t xml:space="preserve">Applicability of </w:t>
      </w:r>
      <w:r w:rsidR="00B84C5E" w:rsidRPr="00746F54">
        <w:rPr>
          <w:rFonts w:ascii="Arial" w:hAnsi="Arial" w:cs="Arial"/>
        </w:rPr>
        <w:t>the ISO Tariff</w:t>
      </w:r>
      <w:r w:rsidRPr="00746F54">
        <w:rPr>
          <w:rFonts w:ascii="Arial" w:hAnsi="Arial" w:cs="Arial"/>
        </w:rPr>
        <w:t xml:space="preserve"> and this EDAM B</w:t>
      </w:r>
      <w:r w:rsidR="00B84C5E" w:rsidRPr="00746F54">
        <w:rPr>
          <w:rFonts w:ascii="Arial" w:hAnsi="Arial" w:cs="Arial"/>
        </w:rPr>
        <w:t>usiness Practice Manual</w:t>
      </w:r>
      <w:bookmarkEnd w:id="29"/>
      <w:bookmarkEnd w:id="30"/>
      <w:r w:rsidRPr="00746F54">
        <w:rPr>
          <w:rFonts w:ascii="Arial" w:hAnsi="Arial" w:cs="Arial"/>
        </w:rPr>
        <w:t xml:space="preserve"> </w:t>
      </w:r>
    </w:p>
    <w:p w14:paraId="0476EE9F" w14:textId="1506106F" w:rsidR="009B05DC" w:rsidRPr="00746F54" w:rsidRDefault="009B05DC" w:rsidP="009B05DC">
      <w:pPr>
        <w:rPr>
          <w:rFonts w:ascii="Arial" w:hAnsi="Arial" w:cs="Arial"/>
          <w:u w:val="single"/>
        </w:rPr>
      </w:pPr>
      <w:r w:rsidRPr="00746F54">
        <w:rPr>
          <w:rFonts w:ascii="Arial" w:hAnsi="Arial" w:cs="Arial"/>
          <w:u w:val="single"/>
        </w:rPr>
        <w:t>Reference</w:t>
      </w:r>
      <w:r w:rsidR="008625DC" w:rsidRPr="00746F54">
        <w:rPr>
          <w:rFonts w:ascii="Arial" w:hAnsi="Arial" w:cs="Arial"/>
          <w:u w:val="single"/>
        </w:rPr>
        <w:t xml:space="preserve"> </w:t>
      </w:r>
      <w:r w:rsidR="003C1353" w:rsidRPr="00746F54">
        <w:rPr>
          <w:rFonts w:ascii="Arial" w:hAnsi="Arial" w:cs="Arial"/>
          <w:u w:val="single"/>
        </w:rPr>
        <w:t>t</w:t>
      </w:r>
      <w:r w:rsidR="008625DC" w:rsidRPr="00746F54">
        <w:rPr>
          <w:rFonts w:ascii="Arial" w:hAnsi="Arial" w:cs="Arial"/>
          <w:u w:val="single"/>
        </w:rPr>
        <w:t>ariff</w:t>
      </w:r>
      <w:r w:rsidRPr="00746F54">
        <w:rPr>
          <w:rFonts w:ascii="Arial" w:hAnsi="Arial" w:cs="Arial"/>
          <w:u w:val="single"/>
        </w:rPr>
        <w:t xml:space="preserve"> Section 33.1 </w:t>
      </w:r>
    </w:p>
    <w:p w14:paraId="081BDE3D" w14:textId="293E1D6F" w:rsidR="00800CAE" w:rsidRPr="00746F54" w:rsidRDefault="00B84C5E" w:rsidP="009B05DC">
      <w:pPr>
        <w:pStyle w:val="BPM"/>
        <w:rPr>
          <w:rFonts w:ascii="Arial" w:eastAsia="Calibri" w:hAnsi="Arial"/>
        </w:rPr>
      </w:pPr>
      <w:r w:rsidRPr="00746F54">
        <w:rPr>
          <w:rFonts w:ascii="Arial" w:eastAsia="Calibri" w:hAnsi="Arial"/>
        </w:rPr>
        <w:t>The</w:t>
      </w:r>
      <w:r w:rsidR="00800CAE" w:rsidRPr="00746F54">
        <w:rPr>
          <w:rFonts w:ascii="Arial" w:eastAsia="Calibri" w:hAnsi="Arial"/>
        </w:rPr>
        <w:t xml:space="preserve"> provisions of Section 33 </w:t>
      </w:r>
      <w:r w:rsidRPr="00746F54">
        <w:rPr>
          <w:rFonts w:ascii="Arial" w:eastAsia="Calibri" w:hAnsi="Arial"/>
        </w:rPr>
        <w:t>of the ISO Tariff</w:t>
      </w:r>
      <w:r w:rsidR="00800CAE" w:rsidRPr="00746F54">
        <w:rPr>
          <w:rFonts w:ascii="Arial" w:eastAsia="Calibri" w:hAnsi="Arial"/>
        </w:rPr>
        <w:t xml:space="preserve"> will apply only to the Extended Day-Ahead Market</w:t>
      </w:r>
      <w:r w:rsidRPr="00746F54">
        <w:rPr>
          <w:rFonts w:ascii="Arial" w:eastAsia="Calibri" w:hAnsi="Arial"/>
        </w:rPr>
        <w:t xml:space="preserve">, whose operation and implementation </w:t>
      </w:r>
      <w:proofErr w:type="gramStart"/>
      <w:r w:rsidRPr="00746F54">
        <w:rPr>
          <w:rFonts w:ascii="Arial" w:eastAsia="Calibri" w:hAnsi="Arial"/>
        </w:rPr>
        <w:t>is</w:t>
      </w:r>
      <w:proofErr w:type="gramEnd"/>
      <w:r w:rsidRPr="00746F54">
        <w:rPr>
          <w:rFonts w:ascii="Arial" w:eastAsia="Calibri" w:hAnsi="Arial"/>
        </w:rPr>
        <w:t xml:space="preserve"> further described in this business practice manual. </w:t>
      </w:r>
      <w:r w:rsidR="00800CAE" w:rsidRPr="00746F54">
        <w:rPr>
          <w:rFonts w:ascii="Arial" w:eastAsia="Calibri" w:hAnsi="Arial"/>
        </w:rPr>
        <w:t xml:space="preserve"> EDAM Market Participants must comply with the provisions of Section 33, and other applicable provisions of the </w:t>
      </w:r>
      <w:r w:rsidRPr="00746F54">
        <w:rPr>
          <w:rFonts w:ascii="Arial" w:eastAsia="Calibri" w:hAnsi="Arial"/>
        </w:rPr>
        <w:t>I</w:t>
      </w:r>
      <w:r w:rsidR="00800CAE" w:rsidRPr="00746F54">
        <w:rPr>
          <w:rFonts w:ascii="Arial" w:eastAsia="Calibri" w:hAnsi="Arial"/>
        </w:rPr>
        <w:t xml:space="preserve">SO Tariff to the extent such provisions: (a) expressly refer to Section 33 or EDAM Market Participants, (b) are cross-referenced in Section 33, or (c) are not limited in applicability to the CAISO Controlled Grid, the CAISO Balancing Authority Area, or CAISO Markets other than the Day-Ahead Market or Real-Time Market. </w:t>
      </w:r>
      <w:r w:rsidR="00EE4E42">
        <w:rPr>
          <w:rFonts w:ascii="Arial" w:eastAsia="Calibri" w:hAnsi="Arial"/>
        </w:rPr>
        <w:t>The operation and implementation of other applicable provisions of the ISO Tariff (e.g., Section 30) are further described in the applicable business practice manual (e.g., Business Practice Manual for Market Operations).</w:t>
      </w:r>
    </w:p>
    <w:p w14:paraId="0BBBEF9D" w14:textId="10E9842A" w:rsidR="00675068" w:rsidRPr="00746F54" w:rsidRDefault="00675068" w:rsidP="00FA407A">
      <w:pPr>
        <w:pStyle w:val="Heading3"/>
        <w:rPr>
          <w:rFonts w:ascii="Arial" w:hAnsi="Arial" w:cs="Arial"/>
        </w:rPr>
      </w:pPr>
      <w:bookmarkStart w:id="31" w:name="_Toc211337866"/>
      <w:r w:rsidRPr="00746F54">
        <w:rPr>
          <w:rFonts w:ascii="Arial" w:hAnsi="Arial" w:cs="Arial"/>
        </w:rPr>
        <w:t>EDAM Implementation Activities</w:t>
      </w:r>
      <w:bookmarkEnd w:id="31"/>
      <w:r w:rsidRPr="00746F54">
        <w:rPr>
          <w:rFonts w:ascii="Arial" w:hAnsi="Arial" w:cs="Arial"/>
        </w:rPr>
        <w:t xml:space="preserve"> </w:t>
      </w:r>
    </w:p>
    <w:p w14:paraId="169E0204" w14:textId="019E6489" w:rsidR="00675068" w:rsidRPr="00746F54" w:rsidRDefault="00675068" w:rsidP="00675068">
      <w:pPr>
        <w:pStyle w:val="ParaText"/>
        <w:rPr>
          <w:rFonts w:ascii="Arial" w:hAnsi="Arial" w:cs="Arial"/>
          <w:u w:val="single"/>
        </w:rPr>
      </w:pPr>
      <w:r w:rsidRPr="00746F54">
        <w:rPr>
          <w:rFonts w:ascii="Arial" w:hAnsi="Arial" w:cs="Arial"/>
          <w:u w:val="single"/>
        </w:rPr>
        <w:t>Reference Tariff Sections 33.2.1 - 33.2.5</w:t>
      </w:r>
    </w:p>
    <w:p w14:paraId="6970BE0A" w14:textId="65E052A7" w:rsidR="00675068" w:rsidRPr="00746F54" w:rsidRDefault="000E1D67" w:rsidP="00675068">
      <w:pPr>
        <w:pStyle w:val="ParaText"/>
        <w:rPr>
          <w:rFonts w:ascii="Arial" w:hAnsi="Arial" w:cs="Arial"/>
        </w:rPr>
      </w:pPr>
      <w:r w:rsidRPr="00746F54">
        <w:rPr>
          <w:rFonts w:ascii="Arial" w:hAnsi="Arial" w:cs="Arial"/>
        </w:rPr>
        <w:t xml:space="preserve">Balancing authorities participating in the WEIM can elect to extend their participation in an open and non-discriminatory </w:t>
      </w:r>
      <w:r w:rsidR="001907C5">
        <w:rPr>
          <w:rFonts w:ascii="Arial" w:hAnsi="Arial" w:cs="Arial"/>
        </w:rPr>
        <w:t>manner</w:t>
      </w:r>
      <w:r w:rsidR="001907C5" w:rsidRPr="00746F54">
        <w:rPr>
          <w:rFonts w:ascii="Arial" w:hAnsi="Arial" w:cs="Arial"/>
        </w:rPr>
        <w:t xml:space="preserve"> </w:t>
      </w:r>
      <w:r w:rsidRPr="00746F54">
        <w:rPr>
          <w:rFonts w:ascii="Arial" w:hAnsi="Arial" w:cs="Arial"/>
        </w:rPr>
        <w:t xml:space="preserve">to the Day-Ahead Market through the EDAM.  WEIM entities do not have an obligation to extend their participation </w:t>
      </w:r>
      <w:r w:rsidR="00A62A99">
        <w:rPr>
          <w:rFonts w:ascii="Arial" w:hAnsi="Arial" w:cs="Arial"/>
        </w:rPr>
        <w:t>in</w:t>
      </w:r>
      <w:r w:rsidRPr="00746F54">
        <w:rPr>
          <w:rFonts w:ascii="Arial" w:hAnsi="Arial" w:cs="Arial"/>
        </w:rPr>
        <w:t xml:space="preserve"> EDAM and may continue to participate only in the WEIM.  </w:t>
      </w:r>
    </w:p>
    <w:p w14:paraId="7F177289" w14:textId="648CCCAF" w:rsidR="000E1D67" w:rsidRPr="00746F54" w:rsidRDefault="000E1D67" w:rsidP="00675068">
      <w:pPr>
        <w:pStyle w:val="ParaText"/>
        <w:rPr>
          <w:rFonts w:ascii="Arial" w:hAnsi="Arial" w:cs="Arial"/>
        </w:rPr>
      </w:pPr>
      <w:r w:rsidRPr="00746F54">
        <w:rPr>
          <w:rFonts w:ascii="Arial" w:hAnsi="Arial" w:cs="Arial"/>
        </w:rPr>
        <w:lastRenderedPageBreak/>
        <w:t>Balancing authorities participating in the WEIM and see</w:t>
      </w:r>
      <w:r w:rsidR="00AD0E0F">
        <w:rPr>
          <w:rFonts w:ascii="Arial" w:hAnsi="Arial" w:cs="Arial"/>
        </w:rPr>
        <w:t>k</w:t>
      </w:r>
      <w:r w:rsidRPr="00746F54">
        <w:rPr>
          <w:rFonts w:ascii="Arial" w:hAnsi="Arial" w:cs="Arial"/>
        </w:rPr>
        <w:t xml:space="preserve">ing to </w:t>
      </w:r>
      <w:r w:rsidR="00AD0E0F">
        <w:rPr>
          <w:rFonts w:ascii="Arial" w:hAnsi="Arial" w:cs="Arial"/>
        </w:rPr>
        <w:t xml:space="preserve">extend their participation </w:t>
      </w:r>
      <w:r w:rsidR="00A62A99">
        <w:rPr>
          <w:rFonts w:ascii="Arial" w:hAnsi="Arial" w:cs="Arial"/>
        </w:rPr>
        <w:t>in</w:t>
      </w:r>
      <w:r w:rsidR="00AD0E0F">
        <w:rPr>
          <w:rFonts w:ascii="Arial" w:hAnsi="Arial" w:cs="Arial"/>
        </w:rPr>
        <w:t xml:space="preserve"> the</w:t>
      </w:r>
      <w:r w:rsidRPr="00746F54">
        <w:rPr>
          <w:rFonts w:ascii="Arial" w:hAnsi="Arial" w:cs="Arial"/>
        </w:rPr>
        <w:t xml:space="preserve"> EDAM mu</w:t>
      </w:r>
      <w:r w:rsidR="00AD0E0F">
        <w:rPr>
          <w:rFonts w:ascii="Arial" w:hAnsi="Arial" w:cs="Arial"/>
        </w:rPr>
        <w:t>st</w:t>
      </w:r>
      <w:r w:rsidRPr="00746F54">
        <w:rPr>
          <w:rFonts w:ascii="Arial" w:hAnsi="Arial" w:cs="Arial"/>
        </w:rPr>
        <w:t xml:space="preserve"> execute an EDAM Implementation Agreement with the CAISO.  This agreement establishes the EDAM </w:t>
      </w:r>
      <w:proofErr w:type="gramStart"/>
      <w:r w:rsidRPr="00746F54">
        <w:rPr>
          <w:rFonts w:ascii="Arial" w:hAnsi="Arial" w:cs="Arial"/>
        </w:rPr>
        <w:t>entity</w:t>
      </w:r>
      <w:proofErr w:type="gramEnd"/>
      <w:r w:rsidRPr="00746F54">
        <w:rPr>
          <w:rFonts w:ascii="Arial" w:hAnsi="Arial" w:cs="Arial"/>
        </w:rPr>
        <w:t xml:space="preserve"> implementation date, execution of an EDAM Addendum to the EIM Entity Agreement, the implementation fee, and the scope of work required for its participation in EDAM.  The CAISO and the prospective EDAM entity will work jointly to determine the implementation</w:t>
      </w:r>
      <w:r w:rsidR="0081140D" w:rsidRPr="00746F54">
        <w:rPr>
          <w:rFonts w:ascii="Arial" w:hAnsi="Arial" w:cs="Arial"/>
        </w:rPr>
        <w:t xml:space="preserve"> date consistent with tariff section 33.2.2.</w:t>
      </w:r>
    </w:p>
    <w:p w14:paraId="51ED108C" w14:textId="588EE7E8" w:rsidR="0081140D" w:rsidRPr="00746F54" w:rsidRDefault="0081140D" w:rsidP="00675068">
      <w:pPr>
        <w:pStyle w:val="ParaText"/>
        <w:rPr>
          <w:rFonts w:ascii="Arial" w:hAnsi="Arial" w:cs="Arial"/>
        </w:rPr>
      </w:pPr>
      <w:r w:rsidRPr="00746F54">
        <w:rPr>
          <w:rFonts w:ascii="Arial" w:hAnsi="Arial" w:cs="Arial"/>
        </w:rPr>
        <w:t xml:space="preserve">Upon execution of the EDAM Implementation Agreement, and as part of the implementation activities prior to onboarding, the CAISO and the prospective EDAM entity will engage in market simulation for the prospective EDAM entity implementation circumstances.  The CAISO and the EDAM entity will </w:t>
      </w:r>
      <w:r w:rsidR="00860E7D" w:rsidRPr="00746F54">
        <w:rPr>
          <w:rFonts w:ascii="Arial" w:hAnsi="Arial" w:cs="Arial"/>
        </w:rPr>
        <w:t xml:space="preserve">also engage in parallel operations of the EDAM for at least 30 days ahead of the EDAM entity implementation as described in tariff section 33.2.3. </w:t>
      </w:r>
    </w:p>
    <w:p w14:paraId="765AD670" w14:textId="36689363" w:rsidR="008D0D75" w:rsidRPr="00746F54" w:rsidRDefault="008D0D75" w:rsidP="00675068">
      <w:pPr>
        <w:pStyle w:val="ParaText"/>
        <w:rPr>
          <w:rFonts w:ascii="Arial" w:hAnsi="Arial" w:cs="Arial"/>
        </w:rPr>
      </w:pPr>
      <w:r w:rsidRPr="00746F54">
        <w:rPr>
          <w:rFonts w:ascii="Arial" w:hAnsi="Arial" w:cs="Arial"/>
        </w:rPr>
        <w:t>As part of the EDAM entity onboarding process, the CAISO and the EDAM entity will complete the following implementation activities as further described in section 33.2.5 of the tariff:</w:t>
      </w:r>
    </w:p>
    <w:p w14:paraId="01569F91" w14:textId="2C2ABC11" w:rsidR="008D0D75" w:rsidRPr="00746F54" w:rsidRDefault="008D0D75" w:rsidP="008D0D75">
      <w:pPr>
        <w:pStyle w:val="ParaText"/>
        <w:numPr>
          <w:ilvl w:val="0"/>
          <w:numId w:val="128"/>
        </w:numPr>
        <w:rPr>
          <w:rFonts w:ascii="Arial" w:hAnsi="Arial" w:cs="Arial"/>
        </w:rPr>
      </w:pPr>
      <w:r w:rsidRPr="00746F54">
        <w:rPr>
          <w:rFonts w:ascii="Arial" w:hAnsi="Arial" w:cs="Arial"/>
        </w:rPr>
        <w:t>Execution of the necessary agreements for operating as an EDAM entity.</w:t>
      </w:r>
    </w:p>
    <w:p w14:paraId="25FF9ABD" w14:textId="448B9156" w:rsidR="008D0D75" w:rsidRPr="00746F54" w:rsidRDefault="008D0D75" w:rsidP="008D0D75">
      <w:pPr>
        <w:pStyle w:val="ParaText"/>
        <w:numPr>
          <w:ilvl w:val="0"/>
          <w:numId w:val="128"/>
        </w:numPr>
        <w:rPr>
          <w:rFonts w:ascii="Arial" w:hAnsi="Arial" w:cs="Arial"/>
        </w:rPr>
      </w:pPr>
      <w:r w:rsidRPr="00746F54">
        <w:rPr>
          <w:rFonts w:ascii="Arial" w:hAnsi="Arial" w:cs="Arial"/>
        </w:rPr>
        <w:t>Operations training prior to the start of parallel operations.</w:t>
      </w:r>
    </w:p>
    <w:p w14:paraId="4EA6A9FC" w14:textId="1D53A63A" w:rsidR="008D0D75" w:rsidRPr="00746F54" w:rsidRDefault="008D0D75" w:rsidP="008D0D75">
      <w:pPr>
        <w:pStyle w:val="ParaText"/>
        <w:numPr>
          <w:ilvl w:val="0"/>
          <w:numId w:val="128"/>
        </w:numPr>
        <w:rPr>
          <w:rFonts w:ascii="Arial" w:hAnsi="Arial" w:cs="Arial"/>
        </w:rPr>
      </w:pPr>
      <w:r w:rsidRPr="00746F54">
        <w:rPr>
          <w:rFonts w:ascii="Arial" w:hAnsi="Arial" w:cs="Arial"/>
        </w:rPr>
        <w:t xml:space="preserve">Establishing forecasting </w:t>
      </w:r>
      <w:r w:rsidR="0099162E" w:rsidRPr="00746F54">
        <w:rPr>
          <w:rFonts w:ascii="Arial" w:hAnsi="Arial" w:cs="Arial"/>
        </w:rPr>
        <w:t>capabilities.</w:t>
      </w:r>
    </w:p>
    <w:p w14:paraId="424DA745" w14:textId="33297E2C" w:rsidR="0099162E" w:rsidRPr="00746F54" w:rsidRDefault="0099162E" w:rsidP="008D0D75">
      <w:pPr>
        <w:pStyle w:val="ParaText"/>
        <w:numPr>
          <w:ilvl w:val="0"/>
          <w:numId w:val="128"/>
        </w:numPr>
        <w:rPr>
          <w:rFonts w:ascii="Arial" w:hAnsi="Arial" w:cs="Arial"/>
        </w:rPr>
      </w:pPr>
      <w:r w:rsidRPr="00746F54">
        <w:rPr>
          <w:rFonts w:ascii="Arial" w:hAnsi="Arial" w:cs="Arial"/>
        </w:rPr>
        <w:t xml:space="preserve">Demonstrating the ability to pass the resource sufficiency evaluation for the EDAM entity balancing authority area.  </w:t>
      </w:r>
    </w:p>
    <w:p w14:paraId="2426651E" w14:textId="0A7374E1" w:rsidR="0099162E" w:rsidRPr="00746F54" w:rsidRDefault="0099162E" w:rsidP="008D0D75">
      <w:pPr>
        <w:pStyle w:val="ParaText"/>
        <w:numPr>
          <w:ilvl w:val="0"/>
          <w:numId w:val="128"/>
        </w:numPr>
        <w:rPr>
          <w:rFonts w:ascii="Arial" w:hAnsi="Arial" w:cs="Arial"/>
        </w:rPr>
      </w:pPr>
      <w:r w:rsidRPr="00746F54">
        <w:rPr>
          <w:rFonts w:ascii="Arial" w:hAnsi="Arial" w:cs="Arial"/>
        </w:rPr>
        <w:t>Confirmation of registration of transmission rights within the balancing authority area available for EDAM transfers or rights that may otherwise be scheduled in the Day-Ahead Market.</w:t>
      </w:r>
    </w:p>
    <w:p w14:paraId="5C0CC36D" w14:textId="13B61F72" w:rsidR="0099162E" w:rsidRPr="00746F54" w:rsidRDefault="0099162E" w:rsidP="008D0D75">
      <w:pPr>
        <w:pStyle w:val="ParaText"/>
        <w:numPr>
          <w:ilvl w:val="0"/>
          <w:numId w:val="128"/>
        </w:numPr>
        <w:rPr>
          <w:rFonts w:ascii="Arial" w:hAnsi="Arial" w:cs="Arial"/>
        </w:rPr>
      </w:pPr>
      <w:r w:rsidRPr="00746F54">
        <w:rPr>
          <w:rFonts w:ascii="Arial" w:hAnsi="Arial" w:cs="Arial"/>
        </w:rPr>
        <w:t>Defining, completing and testing operating procedures between the CISO and the EDAM entity prior to the start of parallel operations.</w:t>
      </w:r>
    </w:p>
    <w:p w14:paraId="541C9775" w14:textId="7664124A" w:rsidR="0099162E" w:rsidRPr="00746F54" w:rsidRDefault="0099162E" w:rsidP="008D0D75">
      <w:pPr>
        <w:pStyle w:val="ParaText"/>
        <w:numPr>
          <w:ilvl w:val="0"/>
          <w:numId w:val="128"/>
        </w:numPr>
        <w:rPr>
          <w:rFonts w:ascii="Arial" w:hAnsi="Arial" w:cs="Arial"/>
        </w:rPr>
      </w:pPr>
      <w:r w:rsidRPr="00746F54">
        <w:rPr>
          <w:rFonts w:ascii="Arial" w:hAnsi="Arial" w:cs="Arial"/>
        </w:rPr>
        <w:t>Completion of system readiness and integration testing.</w:t>
      </w:r>
    </w:p>
    <w:p w14:paraId="486D2DE1" w14:textId="515DE23D" w:rsidR="0099162E" w:rsidRPr="00746F54" w:rsidRDefault="00B33836" w:rsidP="008D0D75">
      <w:pPr>
        <w:pStyle w:val="ParaText"/>
        <w:numPr>
          <w:ilvl w:val="0"/>
          <w:numId w:val="128"/>
        </w:numPr>
        <w:rPr>
          <w:rFonts w:ascii="Arial" w:hAnsi="Arial" w:cs="Arial"/>
        </w:rPr>
      </w:pPr>
      <w:r w:rsidRPr="00746F54">
        <w:rPr>
          <w:rFonts w:ascii="Arial" w:hAnsi="Arial" w:cs="Arial"/>
        </w:rPr>
        <w:t>Completion of market simulation and structure</w:t>
      </w:r>
      <w:r w:rsidR="00663B07">
        <w:rPr>
          <w:rFonts w:ascii="Arial" w:hAnsi="Arial" w:cs="Arial"/>
        </w:rPr>
        <w:t>d</w:t>
      </w:r>
      <w:r w:rsidRPr="00746F54">
        <w:rPr>
          <w:rFonts w:ascii="Arial" w:hAnsi="Arial" w:cs="Arial"/>
        </w:rPr>
        <w:t xml:space="preserve"> scenario simulation.  </w:t>
      </w:r>
    </w:p>
    <w:p w14:paraId="39C58CD9" w14:textId="5D4893B1" w:rsidR="00B33836" w:rsidRPr="00746F54" w:rsidRDefault="00B33836" w:rsidP="008D0D75">
      <w:pPr>
        <w:pStyle w:val="ParaText"/>
        <w:numPr>
          <w:ilvl w:val="0"/>
          <w:numId w:val="128"/>
        </w:numPr>
        <w:rPr>
          <w:rFonts w:ascii="Arial" w:hAnsi="Arial" w:cs="Arial"/>
        </w:rPr>
      </w:pPr>
      <w:r w:rsidRPr="00746F54">
        <w:rPr>
          <w:rFonts w:ascii="Arial" w:hAnsi="Arial" w:cs="Arial"/>
        </w:rPr>
        <w:t>Demonstration of settlement system and process readiness.</w:t>
      </w:r>
    </w:p>
    <w:p w14:paraId="51C06F20" w14:textId="165F0302" w:rsidR="00B33836" w:rsidRPr="00746F54" w:rsidRDefault="00B33836" w:rsidP="008D0D75">
      <w:pPr>
        <w:pStyle w:val="ParaText"/>
        <w:numPr>
          <w:ilvl w:val="0"/>
          <w:numId w:val="128"/>
        </w:numPr>
        <w:rPr>
          <w:rFonts w:ascii="Arial" w:hAnsi="Arial" w:cs="Arial"/>
        </w:rPr>
      </w:pPr>
      <w:r w:rsidRPr="00746F54">
        <w:rPr>
          <w:rFonts w:ascii="Arial" w:hAnsi="Arial" w:cs="Arial"/>
        </w:rPr>
        <w:t>Establishment of a parallel operations plan.</w:t>
      </w:r>
    </w:p>
    <w:p w14:paraId="5BAE461A" w14:textId="496DAF73" w:rsidR="008D0D75" w:rsidRPr="00746F54" w:rsidRDefault="00B33836" w:rsidP="00636D40">
      <w:pPr>
        <w:pStyle w:val="ParaText"/>
        <w:numPr>
          <w:ilvl w:val="0"/>
          <w:numId w:val="128"/>
        </w:numPr>
        <w:rPr>
          <w:rFonts w:ascii="Arial" w:hAnsi="Arial" w:cs="Arial"/>
        </w:rPr>
      </w:pPr>
      <w:r w:rsidRPr="00746F54">
        <w:rPr>
          <w:rFonts w:ascii="Arial" w:hAnsi="Arial" w:cs="Arial"/>
        </w:rPr>
        <w:t xml:space="preserve">Exchange of necessary information regarding historical transmission revenue recovery. </w:t>
      </w:r>
    </w:p>
    <w:p w14:paraId="49DEF3CE" w14:textId="3C3D037F" w:rsidR="006016C0" w:rsidRPr="00746F54" w:rsidRDefault="006016C0" w:rsidP="00CC0F6C">
      <w:pPr>
        <w:pStyle w:val="Heading3"/>
        <w:rPr>
          <w:rFonts w:ascii="Arial" w:hAnsi="Arial" w:cs="Arial"/>
        </w:rPr>
      </w:pPr>
      <w:bookmarkStart w:id="32" w:name="_Toc211337867"/>
      <w:r w:rsidRPr="00746F54">
        <w:rPr>
          <w:rFonts w:ascii="Arial" w:hAnsi="Arial" w:cs="Arial"/>
        </w:rPr>
        <w:lastRenderedPageBreak/>
        <w:t xml:space="preserve">EDAM </w:t>
      </w:r>
      <w:r w:rsidR="007C02B9" w:rsidRPr="00746F54">
        <w:rPr>
          <w:rFonts w:ascii="Arial" w:hAnsi="Arial" w:cs="Arial"/>
        </w:rPr>
        <w:t>Readiness Criteria</w:t>
      </w:r>
      <w:bookmarkEnd w:id="32"/>
      <w:r w:rsidR="007C02B9" w:rsidRPr="00746F54">
        <w:rPr>
          <w:rFonts w:ascii="Arial" w:hAnsi="Arial" w:cs="Arial"/>
        </w:rPr>
        <w:t xml:space="preserve"> </w:t>
      </w:r>
      <w:r w:rsidR="006C4447" w:rsidRPr="00746F54">
        <w:rPr>
          <w:rFonts w:ascii="Arial" w:hAnsi="Arial" w:cs="Arial"/>
        </w:rPr>
        <w:t xml:space="preserve"> </w:t>
      </w:r>
    </w:p>
    <w:p w14:paraId="76A965A8" w14:textId="13678DC2" w:rsidR="006016C0" w:rsidRPr="00746F54" w:rsidRDefault="006016C0" w:rsidP="006016C0">
      <w:pPr>
        <w:pStyle w:val="ParaText"/>
        <w:rPr>
          <w:rFonts w:ascii="Arial" w:hAnsi="Arial" w:cs="Arial"/>
          <w:u w:val="single"/>
        </w:rPr>
      </w:pPr>
      <w:r w:rsidRPr="00746F54">
        <w:rPr>
          <w:rFonts w:ascii="Arial" w:hAnsi="Arial" w:cs="Arial"/>
          <w:u w:val="single"/>
        </w:rPr>
        <w:t>Reference</w:t>
      </w:r>
      <w:r w:rsidR="009E7E5B" w:rsidRPr="00746F54">
        <w:rPr>
          <w:rFonts w:ascii="Arial" w:hAnsi="Arial" w:cs="Arial"/>
          <w:u w:val="single"/>
        </w:rPr>
        <w:t xml:space="preserve"> </w:t>
      </w:r>
      <w:r w:rsidR="00A62A99" w:rsidRPr="00746F54">
        <w:rPr>
          <w:rFonts w:ascii="Arial" w:hAnsi="Arial" w:cs="Arial"/>
          <w:u w:val="single"/>
        </w:rPr>
        <w:t>Tariff</w:t>
      </w:r>
      <w:r w:rsidRPr="00746F54">
        <w:rPr>
          <w:rFonts w:ascii="Arial" w:hAnsi="Arial" w:cs="Arial"/>
          <w:u w:val="single"/>
        </w:rPr>
        <w:t xml:space="preserve"> Section</w:t>
      </w:r>
      <w:r w:rsidRPr="00746F54" w:rsidDel="009E7E5B">
        <w:rPr>
          <w:rFonts w:ascii="Arial" w:hAnsi="Arial" w:cs="Arial"/>
          <w:u w:val="single"/>
        </w:rPr>
        <w:t xml:space="preserve"> </w:t>
      </w:r>
      <w:r w:rsidR="006C4447" w:rsidRPr="00746F54" w:rsidDel="009E7E5B">
        <w:rPr>
          <w:rFonts w:ascii="Arial" w:hAnsi="Arial" w:cs="Arial"/>
          <w:u w:val="single"/>
        </w:rPr>
        <w:t>33.</w:t>
      </w:r>
      <w:r w:rsidRPr="00746F54">
        <w:rPr>
          <w:rFonts w:ascii="Arial" w:hAnsi="Arial" w:cs="Arial"/>
          <w:u w:val="single"/>
        </w:rPr>
        <w:t>2</w:t>
      </w:r>
      <w:r w:rsidR="009E7E5B" w:rsidRPr="00746F54">
        <w:rPr>
          <w:rFonts w:ascii="Arial" w:hAnsi="Arial" w:cs="Arial"/>
          <w:u w:val="single"/>
        </w:rPr>
        <w:t>.6</w:t>
      </w:r>
      <w:r w:rsidRPr="00746F54">
        <w:rPr>
          <w:rFonts w:ascii="Arial" w:hAnsi="Arial" w:cs="Arial"/>
          <w:u w:val="single"/>
        </w:rPr>
        <w:t xml:space="preserve"> </w:t>
      </w:r>
      <w:r w:rsidR="00411115" w:rsidRPr="00746F54">
        <w:rPr>
          <w:rFonts w:ascii="Arial" w:hAnsi="Arial" w:cs="Arial"/>
          <w:u w:val="single"/>
        </w:rPr>
        <w:t>and 33.2.7</w:t>
      </w:r>
    </w:p>
    <w:p w14:paraId="282DB96B" w14:textId="2C560228" w:rsidR="00535C72" w:rsidRPr="00746F54" w:rsidRDefault="00535C72" w:rsidP="00535C72">
      <w:pPr>
        <w:pStyle w:val="ParaText"/>
        <w:rPr>
          <w:rFonts w:ascii="Arial" w:hAnsi="Arial" w:cs="Arial"/>
        </w:rPr>
      </w:pPr>
      <w:r w:rsidRPr="00746F54">
        <w:rPr>
          <w:rFonts w:ascii="Arial" w:hAnsi="Arial" w:cs="Arial"/>
        </w:rPr>
        <w:t xml:space="preserve">The readiness criteria </w:t>
      </w:r>
      <w:proofErr w:type="gramStart"/>
      <w:r w:rsidRPr="00746F54">
        <w:rPr>
          <w:rFonts w:ascii="Arial" w:hAnsi="Arial" w:cs="Arial"/>
        </w:rPr>
        <w:t>support</w:t>
      </w:r>
      <w:r w:rsidR="00652D33">
        <w:rPr>
          <w:rFonts w:ascii="Arial" w:hAnsi="Arial" w:cs="Arial"/>
        </w:rPr>
        <w:t>s</w:t>
      </w:r>
      <w:proofErr w:type="gramEnd"/>
      <w:r w:rsidRPr="00746F54">
        <w:rPr>
          <w:rFonts w:ascii="Arial" w:hAnsi="Arial" w:cs="Arial"/>
        </w:rPr>
        <w:t xml:space="preserve"> certification </w:t>
      </w:r>
      <w:r w:rsidR="0002285D" w:rsidRPr="00746F54">
        <w:rPr>
          <w:rFonts w:ascii="Arial" w:hAnsi="Arial" w:cs="Arial"/>
        </w:rPr>
        <w:t xml:space="preserve">of readiness </w:t>
      </w:r>
      <w:r w:rsidRPr="00746F54">
        <w:rPr>
          <w:rFonts w:ascii="Arial" w:hAnsi="Arial" w:cs="Arial"/>
        </w:rPr>
        <w:t>prior to</w:t>
      </w:r>
      <w:r w:rsidR="00652D33">
        <w:rPr>
          <w:rFonts w:ascii="Arial" w:hAnsi="Arial" w:cs="Arial"/>
        </w:rPr>
        <w:t xml:space="preserve"> EDAM</w:t>
      </w:r>
      <w:r w:rsidRPr="00746F54">
        <w:rPr>
          <w:rFonts w:ascii="Arial" w:hAnsi="Arial" w:cs="Arial"/>
        </w:rPr>
        <w:t xml:space="preserve"> implementation. Leading to certification, the EDAM Entity and CAISO </w:t>
      </w:r>
      <w:r w:rsidR="007C02B9" w:rsidRPr="00746F54">
        <w:rPr>
          <w:rFonts w:ascii="Arial" w:hAnsi="Arial" w:cs="Arial"/>
        </w:rPr>
        <w:t>(as market operator)</w:t>
      </w:r>
      <w:r w:rsidRPr="00746F54">
        <w:rPr>
          <w:rFonts w:ascii="Arial" w:hAnsi="Arial" w:cs="Arial"/>
        </w:rPr>
        <w:t xml:space="preserve"> will conduct appropriate steps to ensure that each </w:t>
      </w:r>
      <w:r w:rsidR="00EB464D" w:rsidRPr="00746F54">
        <w:rPr>
          <w:rFonts w:ascii="Arial" w:hAnsi="Arial" w:cs="Arial"/>
        </w:rPr>
        <w:t>criterion</w:t>
      </w:r>
      <w:r w:rsidRPr="00746F54">
        <w:rPr>
          <w:rFonts w:ascii="Arial" w:hAnsi="Arial" w:cs="Arial"/>
        </w:rPr>
        <w:t xml:space="preserve"> is evaluated compared with the </w:t>
      </w:r>
      <w:r w:rsidR="0002285D" w:rsidRPr="00746F54">
        <w:rPr>
          <w:rFonts w:ascii="Arial" w:hAnsi="Arial" w:cs="Arial"/>
        </w:rPr>
        <w:t>requirements in the CAISO Tariff as outlined below.</w:t>
      </w:r>
    </w:p>
    <w:tbl>
      <w:tblPr>
        <w:tblW w:w="5000" w:type="pct"/>
        <w:tblLook w:val="04A0" w:firstRow="1" w:lastRow="0" w:firstColumn="1" w:lastColumn="0" w:noHBand="0" w:noVBand="1"/>
      </w:tblPr>
      <w:tblGrid>
        <w:gridCol w:w="439"/>
        <w:gridCol w:w="1517"/>
        <w:gridCol w:w="1406"/>
        <w:gridCol w:w="1739"/>
        <w:gridCol w:w="2296"/>
        <w:gridCol w:w="1953"/>
      </w:tblGrid>
      <w:tr w:rsidR="00BF44CA" w:rsidRPr="00746F54" w14:paraId="2040A4BE" w14:textId="77777777" w:rsidTr="00FA407A">
        <w:trPr>
          <w:trHeight w:val="675"/>
          <w:tblHeader/>
        </w:trPr>
        <w:tc>
          <w:tcPr>
            <w:tcW w:w="299" w:type="pct"/>
            <w:tcBorders>
              <w:top w:val="single" w:sz="4" w:space="0" w:color="auto"/>
              <w:left w:val="single" w:sz="4" w:space="0" w:color="auto"/>
              <w:bottom w:val="single" w:sz="4" w:space="0" w:color="auto"/>
              <w:right w:val="single" w:sz="4" w:space="0" w:color="auto"/>
            </w:tcBorders>
            <w:shd w:val="clear" w:color="000000" w:fill="B4C6E7"/>
            <w:hideMark/>
          </w:tcPr>
          <w:p w14:paraId="05D56BA5"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w:t>
            </w:r>
          </w:p>
        </w:tc>
        <w:tc>
          <w:tcPr>
            <w:tcW w:w="555" w:type="pct"/>
            <w:tcBorders>
              <w:top w:val="single" w:sz="4" w:space="0" w:color="auto"/>
              <w:left w:val="nil"/>
              <w:bottom w:val="single" w:sz="4" w:space="0" w:color="auto"/>
              <w:right w:val="single" w:sz="4" w:space="0" w:color="auto"/>
            </w:tcBorders>
            <w:shd w:val="clear" w:color="000000" w:fill="B4C6E7"/>
            <w:hideMark/>
          </w:tcPr>
          <w:p w14:paraId="678F47B2"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Readiness Category</w:t>
            </w:r>
          </w:p>
        </w:tc>
        <w:tc>
          <w:tcPr>
            <w:tcW w:w="742" w:type="pct"/>
            <w:tcBorders>
              <w:top w:val="single" w:sz="4" w:space="0" w:color="auto"/>
              <w:left w:val="nil"/>
              <w:bottom w:val="single" w:sz="4" w:space="0" w:color="auto"/>
              <w:right w:val="single" w:sz="4" w:space="0" w:color="auto"/>
            </w:tcBorders>
            <w:shd w:val="clear" w:color="000000" w:fill="B4C6E7"/>
            <w:hideMark/>
          </w:tcPr>
          <w:p w14:paraId="7EBE5EB0"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Criteria</w:t>
            </w:r>
          </w:p>
        </w:tc>
        <w:tc>
          <w:tcPr>
            <w:tcW w:w="1016" w:type="pct"/>
            <w:tcBorders>
              <w:top w:val="single" w:sz="4" w:space="0" w:color="auto"/>
              <w:left w:val="nil"/>
              <w:bottom w:val="single" w:sz="4" w:space="0" w:color="auto"/>
              <w:right w:val="single" w:sz="4" w:space="0" w:color="auto"/>
            </w:tcBorders>
            <w:shd w:val="clear" w:color="000000" w:fill="B4C6E7"/>
            <w:hideMark/>
          </w:tcPr>
          <w:p w14:paraId="68437CC6"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EDAM Measurable Elements (for tariff)</w:t>
            </w:r>
          </w:p>
        </w:tc>
        <w:tc>
          <w:tcPr>
            <w:tcW w:w="1060" w:type="pct"/>
            <w:tcBorders>
              <w:top w:val="single" w:sz="4" w:space="0" w:color="auto"/>
              <w:left w:val="nil"/>
              <w:bottom w:val="single" w:sz="4" w:space="0" w:color="auto"/>
              <w:right w:val="single" w:sz="4" w:space="0" w:color="auto"/>
            </w:tcBorders>
            <w:shd w:val="clear" w:color="000000" w:fill="B4C6E7"/>
            <w:hideMark/>
          </w:tcPr>
          <w:p w14:paraId="00169512"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Threshold</w:t>
            </w:r>
          </w:p>
        </w:tc>
        <w:tc>
          <w:tcPr>
            <w:tcW w:w="1328" w:type="pct"/>
            <w:tcBorders>
              <w:top w:val="single" w:sz="4" w:space="0" w:color="auto"/>
              <w:left w:val="nil"/>
              <w:bottom w:val="single" w:sz="4" w:space="0" w:color="auto"/>
              <w:right w:val="single" w:sz="4" w:space="0" w:color="auto"/>
            </w:tcBorders>
            <w:shd w:val="clear" w:color="000000" w:fill="B4C6E7"/>
            <w:hideMark/>
          </w:tcPr>
          <w:p w14:paraId="7D617E8B" w14:textId="77777777" w:rsidR="00BF44CA" w:rsidRPr="00746F54" w:rsidRDefault="00BF44CA" w:rsidP="00BF44CA">
            <w:pPr>
              <w:spacing w:after="0" w:line="240" w:lineRule="auto"/>
              <w:rPr>
                <w:rFonts w:ascii="Arial" w:eastAsia="Times New Roman" w:hAnsi="Arial" w:cs="Arial"/>
                <w:b/>
                <w:bCs/>
              </w:rPr>
            </w:pPr>
            <w:r w:rsidRPr="00746F54">
              <w:rPr>
                <w:rFonts w:ascii="Arial" w:eastAsia="Times New Roman" w:hAnsi="Arial" w:cs="Arial"/>
                <w:b/>
                <w:bCs/>
              </w:rPr>
              <w:t>Description of Evidence</w:t>
            </w:r>
          </w:p>
        </w:tc>
      </w:tr>
      <w:tr w:rsidR="00BF44CA" w:rsidRPr="00746F54" w14:paraId="7B9514CB" w14:textId="77777777" w:rsidTr="00BF44CA">
        <w:trPr>
          <w:trHeight w:val="1785"/>
        </w:trPr>
        <w:tc>
          <w:tcPr>
            <w:tcW w:w="299" w:type="pct"/>
            <w:tcBorders>
              <w:top w:val="nil"/>
              <w:left w:val="single" w:sz="4" w:space="0" w:color="auto"/>
              <w:bottom w:val="single" w:sz="4" w:space="0" w:color="auto"/>
              <w:right w:val="single" w:sz="4" w:space="0" w:color="auto"/>
            </w:tcBorders>
            <w:shd w:val="clear" w:color="000000" w:fill="D9D9D9"/>
            <w:noWrap/>
            <w:hideMark/>
          </w:tcPr>
          <w:p w14:paraId="6AFCD314"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w:t>
            </w:r>
          </w:p>
        </w:tc>
        <w:tc>
          <w:tcPr>
            <w:tcW w:w="555" w:type="pct"/>
            <w:tcBorders>
              <w:top w:val="nil"/>
              <w:left w:val="nil"/>
              <w:bottom w:val="single" w:sz="4" w:space="0" w:color="auto"/>
              <w:right w:val="single" w:sz="4" w:space="0" w:color="auto"/>
            </w:tcBorders>
            <w:shd w:val="clear" w:color="000000" w:fill="D9D9D9"/>
            <w:hideMark/>
          </w:tcPr>
          <w:p w14:paraId="003AA01A"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Execution of Necessary Agreements</w:t>
            </w:r>
          </w:p>
        </w:tc>
        <w:tc>
          <w:tcPr>
            <w:tcW w:w="742" w:type="pct"/>
            <w:tcBorders>
              <w:top w:val="nil"/>
              <w:left w:val="nil"/>
              <w:bottom w:val="single" w:sz="4" w:space="0" w:color="auto"/>
              <w:right w:val="single" w:sz="4" w:space="0" w:color="auto"/>
            </w:tcBorders>
            <w:hideMark/>
          </w:tcPr>
          <w:p w14:paraId="641CC668"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Execution of Necessary Agreements</w:t>
            </w:r>
          </w:p>
        </w:tc>
        <w:tc>
          <w:tcPr>
            <w:tcW w:w="1016" w:type="pct"/>
            <w:tcBorders>
              <w:top w:val="nil"/>
              <w:left w:val="nil"/>
              <w:bottom w:val="single" w:sz="4" w:space="0" w:color="auto"/>
              <w:right w:val="single" w:sz="4" w:space="0" w:color="auto"/>
            </w:tcBorders>
            <w:hideMark/>
          </w:tcPr>
          <w:p w14:paraId="3EF47021"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prospective EDAM Entity and others as applicable have executed all necessary agreements.</w:t>
            </w:r>
          </w:p>
        </w:tc>
        <w:tc>
          <w:tcPr>
            <w:tcW w:w="1060" w:type="pct"/>
            <w:tcBorders>
              <w:top w:val="nil"/>
              <w:left w:val="nil"/>
              <w:bottom w:val="single" w:sz="4" w:space="0" w:color="auto"/>
              <w:right w:val="single" w:sz="4" w:space="0" w:color="auto"/>
            </w:tcBorders>
            <w:hideMark/>
          </w:tcPr>
          <w:p w14:paraId="427E7CE0"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The prospective EDAM Entity and others as applicable will execute all applicable agreements, as outlined in Section </w:t>
            </w:r>
            <w:r w:rsidRPr="00746F54">
              <w:rPr>
                <w:rFonts w:ascii="Arial" w:eastAsia="Times New Roman" w:hAnsi="Arial" w:cs="Arial"/>
                <w:b/>
                <w:bCs/>
                <w:sz w:val="20"/>
                <w:szCs w:val="20"/>
              </w:rPr>
              <w:t>2.2</w:t>
            </w:r>
            <w:r w:rsidRPr="00746F54">
              <w:rPr>
                <w:rFonts w:ascii="Arial" w:eastAsia="Times New Roman" w:hAnsi="Arial" w:cs="Arial"/>
                <w:sz w:val="20"/>
                <w:szCs w:val="20"/>
              </w:rPr>
              <w:t xml:space="preserve"> of the EDAM BPM within the required timelines </w:t>
            </w:r>
          </w:p>
        </w:tc>
        <w:tc>
          <w:tcPr>
            <w:tcW w:w="1328" w:type="pct"/>
            <w:tcBorders>
              <w:top w:val="nil"/>
              <w:left w:val="nil"/>
              <w:bottom w:val="single" w:sz="4" w:space="0" w:color="auto"/>
              <w:right w:val="single" w:sz="4" w:space="0" w:color="auto"/>
            </w:tcBorders>
            <w:hideMark/>
          </w:tcPr>
          <w:p w14:paraId="098983E1" w14:textId="4FF120B3"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EDAM Entity </w:t>
            </w:r>
            <w:r w:rsidR="00A62A99" w:rsidRPr="00746F54">
              <w:rPr>
                <w:rFonts w:ascii="Arial" w:eastAsia="Times New Roman" w:hAnsi="Arial" w:cs="Arial"/>
                <w:sz w:val="20"/>
                <w:szCs w:val="20"/>
              </w:rPr>
              <w:t>provides</w:t>
            </w:r>
            <w:r w:rsidRPr="00746F54">
              <w:rPr>
                <w:rFonts w:ascii="Arial" w:eastAsia="Times New Roman" w:hAnsi="Arial" w:cs="Arial"/>
                <w:sz w:val="20"/>
                <w:szCs w:val="20"/>
              </w:rPr>
              <w:t xml:space="preserve"> copies of all executed agreements. </w:t>
            </w:r>
            <w:r w:rsidRPr="00746F54">
              <w:rPr>
                <w:rFonts w:ascii="Arial" w:eastAsia="Times New Roman" w:hAnsi="Arial" w:cs="Arial"/>
                <w:sz w:val="20"/>
                <w:szCs w:val="20"/>
              </w:rPr>
              <w:br/>
            </w:r>
            <w:r w:rsidRPr="00746F54">
              <w:rPr>
                <w:rFonts w:ascii="Arial" w:eastAsia="Times New Roman" w:hAnsi="Arial" w:cs="Arial"/>
                <w:sz w:val="20"/>
                <w:szCs w:val="20"/>
              </w:rPr>
              <w:br/>
              <w:t>ISO provides evidence that the planned agreement tasks are all complete (Completed Agreements Checklist).</w:t>
            </w:r>
          </w:p>
        </w:tc>
      </w:tr>
      <w:tr w:rsidR="00BF44CA" w:rsidRPr="00746F54" w14:paraId="31ED0011" w14:textId="77777777" w:rsidTr="00BF44CA">
        <w:trPr>
          <w:trHeight w:val="4080"/>
        </w:trPr>
        <w:tc>
          <w:tcPr>
            <w:tcW w:w="299" w:type="pct"/>
            <w:tcBorders>
              <w:top w:val="nil"/>
              <w:left w:val="single" w:sz="4" w:space="0" w:color="auto"/>
              <w:bottom w:val="single" w:sz="4" w:space="0" w:color="auto"/>
              <w:right w:val="single" w:sz="4" w:space="0" w:color="auto"/>
            </w:tcBorders>
            <w:shd w:val="clear" w:color="000000" w:fill="D9D9D9"/>
            <w:noWrap/>
            <w:hideMark/>
          </w:tcPr>
          <w:p w14:paraId="214BA995"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2</w:t>
            </w:r>
          </w:p>
        </w:tc>
        <w:tc>
          <w:tcPr>
            <w:tcW w:w="555" w:type="pct"/>
            <w:tcBorders>
              <w:top w:val="nil"/>
              <w:left w:val="nil"/>
              <w:bottom w:val="single" w:sz="4" w:space="0" w:color="auto"/>
              <w:right w:val="single" w:sz="4" w:space="0" w:color="auto"/>
            </w:tcBorders>
            <w:shd w:val="clear" w:color="000000" w:fill="D9D9D9"/>
            <w:hideMark/>
          </w:tcPr>
          <w:p w14:paraId="6EB57A17"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Operations Training</w:t>
            </w:r>
          </w:p>
        </w:tc>
        <w:tc>
          <w:tcPr>
            <w:tcW w:w="742" w:type="pct"/>
            <w:tcBorders>
              <w:top w:val="nil"/>
              <w:left w:val="nil"/>
              <w:bottom w:val="single" w:sz="4" w:space="0" w:color="auto"/>
              <w:right w:val="single" w:sz="4" w:space="0" w:color="auto"/>
            </w:tcBorders>
            <w:hideMark/>
          </w:tcPr>
          <w:p w14:paraId="4319B0B4"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All training as outlined in the EDAM Entity's Training Plan is complete</w:t>
            </w:r>
          </w:p>
        </w:tc>
        <w:tc>
          <w:tcPr>
            <w:tcW w:w="1016" w:type="pct"/>
            <w:tcBorders>
              <w:top w:val="nil"/>
              <w:left w:val="nil"/>
              <w:bottom w:val="nil"/>
              <w:right w:val="nil"/>
            </w:tcBorders>
            <w:hideMark/>
          </w:tcPr>
          <w:p w14:paraId="4B9CB60B"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In preparation for EDAM implementation, the prospective EDAM Entity will develop a training plan to educate entity staff who will have responsibility for EDAM operations, market transactions, and settlements.</w:t>
            </w:r>
          </w:p>
        </w:tc>
        <w:tc>
          <w:tcPr>
            <w:tcW w:w="1060" w:type="pct"/>
            <w:tcBorders>
              <w:top w:val="nil"/>
              <w:left w:val="single" w:sz="4" w:space="0" w:color="auto"/>
              <w:bottom w:val="single" w:sz="4" w:space="0" w:color="auto"/>
              <w:right w:val="single" w:sz="4" w:space="0" w:color="auto"/>
            </w:tcBorders>
            <w:hideMark/>
          </w:tcPr>
          <w:p w14:paraId="560096DE"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Prospective EDAM Entity staff will complete role-based training in the appropriate timeframes as outlined in the EDAM Entity's Training Plan and the EDAM Course Catalog. EDAM Entity provides that all identified staff have received training as required by the EDAM Entity's Training Plan and the EDAM Course Catalog. </w:t>
            </w:r>
          </w:p>
        </w:tc>
        <w:tc>
          <w:tcPr>
            <w:tcW w:w="1328" w:type="pct"/>
            <w:tcBorders>
              <w:top w:val="nil"/>
              <w:left w:val="nil"/>
              <w:bottom w:val="single" w:sz="4" w:space="0" w:color="auto"/>
              <w:right w:val="single" w:sz="4" w:space="0" w:color="auto"/>
            </w:tcBorders>
            <w:hideMark/>
          </w:tcPr>
          <w:p w14:paraId="6FA89870"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Prospective EDAM Entity provides email evidence stating that all identified staff</w:t>
            </w:r>
            <w:r w:rsidRPr="00746F54">
              <w:rPr>
                <w:rFonts w:ascii="Arial" w:eastAsia="Times New Roman" w:hAnsi="Arial" w:cs="Arial"/>
                <w:strike/>
                <w:sz w:val="20"/>
                <w:szCs w:val="20"/>
              </w:rPr>
              <w:t xml:space="preserve"> </w:t>
            </w:r>
            <w:r w:rsidRPr="00746F54">
              <w:rPr>
                <w:rFonts w:ascii="Arial" w:eastAsia="Times New Roman" w:hAnsi="Arial" w:cs="Arial"/>
                <w:sz w:val="20"/>
                <w:szCs w:val="20"/>
              </w:rPr>
              <w:t>have received training as required by the EDAM Entity's Training Plan and the EDAM Course Catalog.</w:t>
            </w:r>
          </w:p>
        </w:tc>
      </w:tr>
      <w:tr w:rsidR="00BF44CA" w:rsidRPr="00746F54" w14:paraId="5F3CDCB1" w14:textId="77777777" w:rsidTr="00BF44CA">
        <w:trPr>
          <w:trHeight w:val="6630"/>
        </w:trPr>
        <w:tc>
          <w:tcPr>
            <w:tcW w:w="299" w:type="pct"/>
            <w:tcBorders>
              <w:top w:val="nil"/>
              <w:left w:val="single" w:sz="4" w:space="0" w:color="auto"/>
              <w:bottom w:val="single" w:sz="4" w:space="0" w:color="auto"/>
              <w:right w:val="single" w:sz="4" w:space="0" w:color="auto"/>
            </w:tcBorders>
            <w:shd w:val="clear" w:color="000000" w:fill="D9D9D9"/>
            <w:noWrap/>
            <w:hideMark/>
          </w:tcPr>
          <w:p w14:paraId="6C285DEC"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lastRenderedPageBreak/>
              <w:t>3</w:t>
            </w:r>
          </w:p>
        </w:tc>
        <w:tc>
          <w:tcPr>
            <w:tcW w:w="555" w:type="pct"/>
            <w:tcBorders>
              <w:top w:val="nil"/>
              <w:left w:val="nil"/>
              <w:bottom w:val="single" w:sz="4" w:space="0" w:color="auto"/>
              <w:right w:val="single" w:sz="4" w:space="0" w:color="auto"/>
            </w:tcBorders>
            <w:shd w:val="clear" w:color="000000" w:fill="D9D9D9"/>
            <w:hideMark/>
          </w:tcPr>
          <w:p w14:paraId="63A80717"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Forecasting Capability</w:t>
            </w:r>
          </w:p>
        </w:tc>
        <w:tc>
          <w:tcPr>
            <w:tcW w:w="742" w:type="pct"/>
            <w:tcBorders>
              <w:top w:val="nil"/>
              <w:left w:val="nil"/>
              <w:bottom w:val="single" w:sz="4" w:space="0" w:color="auto"/>
              <w:right w:val="single" w:sz="4" w:space="0" w:color="auto"/>
            </w:tcBorders>
            <w:hideMark/>
          </w:tcPr>
          <w:p w14:paraId="4024EDF9"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Load forecast capability  </w:t>
            </w:r>
          </w:p>
        </w:tc>
        <w:tc>
          <w:tcPr>
            <w:tcW w:w="1016" w:type="pct"/>
            <w:tcBorders>
              <w:top w:val="single" w:sz="4" w:space="0" w:color="auto"/>
              <w:left w:val="nil"/>
              <w:bottom w:val="single" w:sz="4" w:space="0" w:color="auto"/>
              <w:right w:val="single" w:sz="4" w:space="0" w:color="auto"/>
            </w:tcBorders>
            <w:hideMark/>
          </w:tcPr>
          <w:p w14:paraId="63CA4385"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Definition of EDAM demand day ahead forecast boundaries based on the conforming and non-conforming load characteristics, as applicable</w:t>
            </w:r>
            <w:r w:rsidRPr="00746F54">
              <w:rPr>
                <w:rFonts w:ascii="Arial" w:eastAsia="Times New Roman" w:hAnsi="Arial" w:cs="Arial"/>
                <w:sz w:val="20"/>
                <w:szCs w:val="20"/>
              </w:rPr>
              <w:br/>
              <w:t>·  Documentation of EDAM Entity’s choice of day-ahead demand forecast provider and how the demand forecast will be completed</w:t>
            </w:r>
            <w:r w:rsidRPr="00746F54">
              <w:rPr>
                <w:rFonts w:ascii="Arial" w:eastAsia="Times New Roman" w:hAnsi="Arial" w:cs="Arial"/>
                <w:sz w:val="20"/>
                <w:szCs w:val="20"/>
              </w:rPr>
              <w:br/>
              <w:t>·  If EDAM Entity chooses to self-submit a demand forecast for use in EDAM, WEIM, and RC West, and if Entity meets all ISO Tariff and forecast capability requirements</w:t>
            </w:r>
            <w:r w:rsidRPr="00746F54">
              <w:rPr>
                <w:rFonts w:ascii="Arial" w:eastAsia="Times New Roman" w:hAnsi="Arial" w:cs="Arial"/>
                <w:sz w:val="20"/>
                <w:szCs w:val="20"/>
              </w:rPr>
              <w:br/>
              <w:t>·   If entity provided day ahead demand forecast, then sign off on data flow of required demand forecast data from entity</w:t>
            </w:r>
            <w:r w:rsidRPr="00746F54">
              <w:rPr>
                <w:rFonts w:ascii="Arial" w:eastAsia="Times New Roman" w:hAnsi="Arial" w:cs="Arial"/>
                <w:sz w:val="20"/>
                <w:szCs w:val="20"/>
              </w:rPr>
              <w:br/>
              <w:t xml:space="preserve">·  Submittal of accuracy and evaluation of the ISO or entity provided day ahead demand forecast of EDAM demand based on </w:t>
            </w:r>
            <w:r w:rsidRPr="00746F54">
              <w:rPr>
                <w:rFonts w:ascii="Arial" w:eastAsia="Times New Roman" w:hAnsi="Arial" w:cs="Arial"/>
                <w:sz w:val="20"/>
                <w:szCs w:val="20"/>
              </w:rPr>
              <w:lastRenderedPageBreak/>
              <w:t>historical actual load data for the defined EIM demand forecast boundaries</w:t>
            </w:r>
            <w:r w:rsidRPr="00746F54">
              <w:rPr>
                <w:rFonts w:ascii="Arial" w:eastAsia="Times New Roman" w:hAnsi="Arial" w:cs="Arial"/>
                <w:sz w:val="20"/>
                <w:szCs w:val="20"/>
              </w:rPr>
              <w:br/>
              <w:t>·   Identification of weather station(s) locations used in forecasting, if applicable</w:t>
            </w:r>
          </w:p>
        </w:tc>
        <w:tc>
          <w:tcPr>
            <w:tcW w:w="1060" w:type="pct"/>
            <w:tcBorders>
              <w:top w:val="nil"/>
              <w:left w:val="nil"/>
              <w:bottom w:val="single" w:sz="4" w:space="0" w:color="auto"/>
              <w:right w:val="single" w:sz="4" w:space="0" w:color="auto"/>
            </w:tcBorders>
            <w:hideMark/>
          </w:tcPr>
          <w:p w14:paraId="618D2BE4"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lastRenderedPageBreak/>
              <w:t>All Plant Information (PI) tags and historical data for defined load area(s), and non-conforming load, if applicable, compared with DA load forecasts provided. EDAM Entity provides confirmation via documentation provided stating demand forecast boundaries for its conforming and non-conforming load characteristics and choice of demand forecast provider for Market and RC. If ISO Forecasting is selected: EDAM BAA and ISO will provide document with weather stations utilized and weightings EDAM Entity providing external forecast must demonstrate delivery of Unit MW forecast by 6am for 1 day ahead through 7 days ahead.</w:t>
            </w:r>
          </w:p>
        </w:tc>
        <w:tc>
          <w:tcPr>
            <w:tcW w:w="1328" w:type="pct"/>
            <w:tcBorders>
              <w:top w:val="nil"/>
              <w:left w:val="nil"/>
              <w:bottom w:val="single" w:sz="4" w:space="0" w:color="auto"/>
              <w:right w:val="single" w:sz="4" w:space="0" w:color="auto"/>
            </w:tcBorders>
            <w:hideMark/>
          </w:tcPr>
          <w:p w14:paraId="7FD9BD37"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ISO Short term Forecasting team provides Demand Forecasting Report analyzing hourly demand forecast accuracy. Note the forecast accuracy may be evaluated against STF-generated forecasts from prior years and/or the EDAM entity’s externally provided forecast. Multiple metrics across multiple evaluation horizons may be included, such as average MAPE across all hours or MAE during peak hour.  </w:t>
            </w:r>
          </w:p>
        </w:tc>
      </w:tr>
      <w:tr w:rsidR="00BF44CA" w:rsidRPr="00746F54" w14:paraId="0248D42F" w14:textId="77777777" w:rsidTr="00FA407A">
        <w:trPr>
          <w:trHeight w:val="3315"/>
        </w:trPr>
        <w:tc>
          <w:tcPr>
            <w:tcW w:w="299" w:type="pct"/>
            <w:tcBorders>
              <w:top w:val="nil"/>
              <w:left w:val="single" w:sz="4" w:space="0" w:color="auto"/>
              <w:bottom w:val="single" w:sz="4" w:space="0" w:color="auto"/>
              <w:right w:val="single" w:sz="4" w:space="0" w:color="auto"/>
            </w:tcBorders>
            <w:shd w:val="clear" w:color="000000" w:fill="D9D9D9"/>
            <w:noWrap/>
            <w:hideMark/>
          </w:tcPr>
          <w:p w14:paraId="3CEB59ED"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4</w:t>
            </w:r>
          </w:p>
        </w:tc>
        <w:tc>
          <w:tcPr>
            <w:tcW w:w="555" w:type="pct"/>
            <w:tcBorders>
              <w:top w:val="nil"/>
              <w:left w:val="nil"/>
              <w:bottom w:val="single" w:sz="4" w:space="0" w:color="auto"/>
              <w:right w:val="single" w:sz="4" w:space="0" w:color="auto"/>
            </w:tcBorders>
            <w:shd w:val="clear" w:color="000000" w:fill="D9D9D9"/>
            <w:hideMark/>
          </w:tcPr>
          <w:p w14:paraId="2BE5BAF5"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Forecasting Capability</w:t>
            </w:r>
          </w:p>
        </w:tc>
        <w:tc>
          <w:tcPr>
            <w:tcW w:w="742" w:type="pct"/>
            <w:tcBorders>
              <w:top w:val="nil"/>
              <w:left w:val="nil"/>
              <w:bottom w:val="single" w:sz="4" w:space="0" w:color="auto"/>
              <w:right w:val="single" w:sz="4" w:space="0" w:color="auto"/>
            </w:tcBorders>
            <w:hideMark/>
          </w:tcPr>
          <w:p w14:paraId="27420506"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Variable Energy Resource (VER) forecast capability </w:t>
            </w:r>
          </w:p>
        </w:tc>
        <w:tc>
          <w:tcPr>
            <w:tcW w:w="1016" w:type="pct"/>
            <w:tcBorders>
              <w:top w:val="nil"/>
              <w:left w:val="nil"/>
              <w:bottom w:val="single" w:sz="4" w:space="0" w:color="auto"/>
              <w:right w:val="single" w:sz="4" w:space="0" w:color="auto"/>
            </w:tcBorders>
            <w:hideMark/>
          </w:tcPr>
          <w:p w14:paraId="2AC77D9D" w14:textId="738BA373"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   Identification of the source of day ahead VER forecasts. (If a participating wind or solar unit requires </w:t>
            </w:r>
            <w:r w:rsidR="00A62A99" w:rsidRPr="00746F54">
              <w:rPr>
                <w:rFonts w:ascii="Arial" w:eastAsia="Times New Roman" w:hAnsi="Arial" w:cs="Arial"/>
                <w:sz w:val="20"/>
                <w:szCs w:val="20"/>
              </w:rPr>
              <w:t>an</w:t>
            </w:r>
            <w:r w:rsidRPr="00746F54">
              <w:rPr>
                <w:rFonts w:ascii="Arial" w:eastAsia="Times New Roman" w:hAnsi="Arial" w:cs="Arial"/>
                <w:sz w:val="20"/>
                <w:szCs w:val="20"/>
              </w:rPr>
              <w:t xml:space="preserve"> ISO forecast, then BPM and Tariff requirements apply.)</w:t>
            </w:r>
            <w:r w:rsidRPr="00746F54">
              <w:rPr>
                <w:rFonts w:ascii="Arial" w:eastAsia="Times New Roman" w:hAnsi="Arial" w:cs="Arial"/>
                <w:sz w:val="20"/>
                <w:szCs w:val="20"/>
              </w:rPr>
              <w:br/>
              <w:t>·   Accuracy of the ISO day ahead renewable forecast of EDAM VER resource</w:t>
            </w:r>
            <w:r w:rsidRPr="00746F54">
              <w:rPr>
                <w:rFonts w:ascii="Arial" w:eastAsia="Times New Roman" w:hAnsi="Arial" w:cs="Arial"/>
                <w:sz w:val="20"/>
                <w:szCs w:val="20"/>
              </w:rPr>
              <w:br/>
              <w:t xml:space="preserve">·   Identification of all Hybrid </w:t>
            </w:r>
            <w:r w:rsidRPr="00746F54">
              <w:rPr>
                <w:rFonts w:ascii="Arial" w:eastAsia="Times New Roman" w:hAnsi="Arial" w:cs="Arial"/>
                <w:sz w:val="20"/>
                <w:szCs w:val="20"/>
              </w:rPr>
              <w:lastRenderedPageBreak/>
              <w:t>Resources and applicable tariff and BPM requirements are met</w:t>
            </w:r>
          </w:p>
        </w:tc>
        <w:tc>
          <w:tcPr>
            <w:tcW w:w="1060" w:type="pct"/>
            <w:tcBorders>
              <w:top w:val="nil"/>
              <w:left w:val="nil"/>
              <w:bottom w:val="nil"/>
              <w:right w:val="single" w:sz="4" w:space="0" w:color="auto"/>
            </w:tcBorders>
            <w:hideMark/>
          </w:tcPr>
          <w:p w14:paraId="422ABFFC"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lastRenderedPageBreak/>
              <w:t xml:space="preserve">Real-time MW production PI tags for all Resources, and metrological measurements required for Hybrid Resources, compared with DA VER forecasts provided. EDAM entity confirms via documentation stating selection of VER Forecast Provider. EDAM Entity providing external forecast must demonstrate delivery of Unit MW forecast by 6am for 1 day ahead through 7 days ahead. EDAM Entity providing </w:t>
            </w:r>
            <w:r w:rsidRPr="00746F54">
              <w:rPr>
                <w:rFonts w:ascii="Arial" w:eastAsia="Times New Roman" w:hAnsi="Arial" w:cs="Arial"/>
                <w:sz w:val="20"/>
                <w:szCs w:val="20"/>
              </w:rPr>
              <w:lastRenderedPageBreak/>
              <w:t xml:space="preserve">external </w:t>
            </w:r>
            <w:proofErr w:type="gramStart"/>
            <w:r w:rsidRPr="00746F54">
              <w:rPr>
                <w:rFonts w:ascii="Arial" w:eastAsia="Times New Roman" w:hAnsi="Arial" w:cs="Arial"/>
                <w:sz w:val="20"/>
                <w:szCs w:val="20"/>
              </w:rPr>
              <w:t>forecast</w:t>
            </w:r>
            <w:proofErr w:type="gramEnd"/>
            <w:r w:rsidRPr="00746F54">
              <w:rPr>
                <w:rFonts w:ascii="Arial" w:eastAsia="Times New Roman" w:hAnsi="Arial" w:cs="Arial"/>
                <w:sz w:val="20"/>
                <w:szCs w:val="20"/>
              </w:rPr>
              <w:t xml:space="preserve"> must also provide DAM schedule.</w:t>
            </w:r>
          </w:p>
        </w:tc>
        <w:tc>
          <w:tcPr>
            <w:tcW w:w="1328" w:type="pct"/>
            <w:tcBorders>
              <w:top w:val="nil"/>
              <w:left w:val="single" w:sz="4" w:space="0" w:color="auto"/>
              <w:bottom w:val="single" w:sz="4" w:space="0" w:color="auto"/>
              <w:right w:val="single" w:sz="4" w:space="0" w:color="auto"/>
            </w:tcBorders>
            <w:hideMark/>
          </w:tcPr>
          <w:p w14:paraId="7D13F91D"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lastRenderedPageBreak/>
              <w:t>ISO short term forecasting provides VER Forecasting report, analyzing VER forecast accuracy.</w:t>
            </w:r>
          </w:p>
        </w:tc>
      </w:tr>
      <w:tr w:rsidR="00BF44CA" w:rsidRPr="00746F54" w14:paraId="4A217EBC" w14:textId="77777777" w:rsidTr="00BF44CA">
        <w:trPr>
          <w:trHeight w:val="3060"/>
        </w:trPr>
        <w:tc>
          <w:tcPr>
            <w:tcW w:w="299" w:type="pct"/>
            <w:tcBorders>
              <w:top w:val="nil"/>
              <w:left w:val="single" w:sz="4" w:space="0" w:color="auto"/>
              <w:bottom w:val="single" w:sz="4" w:space="0" w:color="auto"/>
              <w:right w:val="single" w:sz="4" w:space="0" w:color="auto"/>
            </w:tcBorders>
            <w:shd w:val="clear" w:color="000000" w:fill="D9D9D9"/>
            <w:noWrap/>
            <w:hideMark/>
          </w:tcPr>
          <w:p w14:paraId="3F00D249"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5</w:t>
            </w:r>
          </w:p>
        </w:tc>
        <w:tc>
          <w:tcPr>
            <w:tcW w:w="555" w:type="pct"/>
            <w:tcBorders>
              <w:top w:val="nil"/>
              <w:left w:val="nil"/>
              <w:bottom w:val="single" w:sz="4" w:space="0" w:color="auto"/>
              <w:right w:val="single" w:sz="4" w:space="0" w:color="auto"/>
            </w:tcBorders>
            <w:shd w:val="clear" w:color="000000" w:fill="D9D9D9"/>
            <w:hideMark/>
          </w:tcPr>
          <w:p w14:paraId="1D9011BE"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Forecasting Capability</w:t>
            </w:r>
          </w:p>
        </w:tc>
        <w:tc>
          <w:tcPr>
            <w:tcW w:w="742" w:type="pct"/>
            <w:tcBorders>
              <w:top w:val="nil"/>
              <w:left w:val="nil"/>
              <w:bottom w:val="single" w:sz="4" w:space="0" w:color="auto"/>
              <w:right w:val="single" w:sz="4" w:space="0" w:color="auto"/>
            </w:tcBorders>
            <w:hideMark/>
          </w:tcPr>
          <w:p w14:paraId="3B055AA0"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Imbalance reserve requirements (IR)</w:t>
            </w:r>
          </w:p>
        </w:tc>
        <w:tc>
          <w:tcPr>
            <w:tcW w:w="1016" w:type="pct"/>
            <w:tcBorders>
              <w:top w:val="nil"/>
              <w:left w:val="nil"/>
              <w:bottom w:val="single" w:sz="4" w:space="0" w:color="auto"/>
              <w:right w:val="single" w:sz="4" w:space="0" w:color="auto"/>
            </w:tcBorders>
            <w:hideMark/>
          </w:tcPr>
          <w:p w14:paraId="5772733B"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Provision of ISO Historical data on Day Ahead Demand and renewable forecast information to fill the needed historical data period to produce the imbalance requirements at the net load level</w:t>
            </w:r>
            <w:r w:rsidRPr="00746F54">
              <w:rPr>
                <w:rFonts w:ascii="Arial" w:eastAsia="Times New Roman" w:hAnsi="Arial" w:cs="Arial"/>
                <w:sz w:val="20"/>
                <w:szCs w:val="20"/>
              </w:rPr>
              <w:br/>
              <w:t xml:space="preserve">·   ISO has established imbalance requirements for the prospective EDAM Entity Balancing Authority Area and the combined EDAM Area including the prospective EDAM Entity </w:t>
            </w:r>
          </w:p>
        </w:tc>
        <w:tc>
          <w:tcPr>
            <w:tcW w:w="1060" w:type="pct"/>
            <w:tcBorders>
              <w:top w:val="single" w:sz="4" w:space="0" w:color="auto"/>
              <w:left w:val="nil"/>
              <w:bottom w:val="single" w:sz="4" w:space="0" w:color="auto"/>
              <w:right w:val="single" w:sz="4" w:space="0" w:color="auto"/>
            </w:tcBorders>
            <w:hideMark/>
          </w:tcPr>
          <w:p w14:paraId="5CBB86BB"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ISO has received a CIDI ticket with historical data needed for initializing mosaic IR requirement from the prospective/onboarding EIM/EDAM Entity.</w:t>
            </w:r>
            <w:r w:rsidRPr="00746F54">
              <w:rPr>
                <w:rFonts w:ascii="Arial" w:eastAsia="Times New Roman" w:hAnsi="Arial" w:cs="Arial"/>
                <w:sz w:val="20"/>
                <w:szCs w:val="20"/>
              </w:rPr>
              <w:br/>
              <w:t xml:space="preserve">Internal &amp; Partially External - ISO load forecast and external VER deliveries need to be streaming to BARC (To integrate ALFS and downstream applications regardless of external deliveries) </w:t>
            </w:r>
          </w:p>
        </w:tc>
        <w:tc>
          <w:tcPr>
            <w:tcW w:w="1328" w:type="pct"/>
            <w:tcBorders>
              <w:top w:val="nil"/>
              <w:left w:val="nil"/>
              <w:bottom w:val="single" w:sz="4" w:space="0" w:color="auto"/>
              <w:right w:val="single" w:sz="4" w:space="0" w:color="auto"/>
            </w:tcBorders>
            <w:hideMark/>
          </w:tcPr>
          <w:p w14:paraId="212CAE25"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ISO Short term Forecasting team provides IR in stage environment market output and IR accuracy report. </w:t>
            </w:r>
          </w:p>
        </w:tc>
      </w:tr>
      <w:tr w:rsidR="00BF44CA" w:rsidRPr="00746F54" w14:paraId="26135EC0" w14:textId="77777777" w:rsidTr="00BF44CA">
        <w:trPr>
          <w:trHeight w:val="2040"/>
        </w:trPr>
        <w:tc>
          <w:tcPr>
            <w:tcW w:w="299" w:type="pct"/>
            <w:tcBorders>
              <w:top w:val="nil"/>
              <w:left w:val="single" w:sz="4" w:space="0" w:color="auto"/>
              <w:bottom w:val="single" w:sz="4" w:space="0" w:color="auto"/>
              <w:right w:val="single" w:sz="4" w:space="0" w:color="auto"/>
            </w:tcBorders>
            <w:shd w:val="clear" w:color="000000" w:fill="D9D9D9"/>
            <w:noWrap/>
            <w:hideMark/>
          </w:tcPr>
          <w:p w14:paraId="0207BC1B"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lastRenderedPageBreak/>
              <w:t>6</w:t>
            </w:r>
          </w:p>
        </w:tc>
        <w:tc>
          <w:tcPr>
            <w:tcW w:w="555" w:type="pct"/>
            <w:tcBorders>
              <w:top w:val="nil"/>
              <w:left w:val="nil"/>
              <w:bottom w:val="single" w:sz="4" w:space="0" w:color="auto"/>
              <w:right w:val="single" w:sz="4" w:space="0" w:color="auto"/>
            </w:tcBorders>
            <w:shd w:val="clear" w:color="000000" w:fill="D9D9D9"/>
            <w:hideMark/>
          </w:tcPr>
          <w:p w14:paraId="7DC8080F"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Resource Sufficiency Evaluation</w:t>
            </w:r>
          </w:p>
        </w:tc>
        <w:tc>
          <w:tcPr>
            <w:tcW w:w="742" w:type="pct"/>
            <w:tcBorders>
              <w:top w:val="nil"/>
              <w:left w:val="nil"/>
              <w:bottom w:val="single" w:sz="4" w:space="0" w:color="auto"/>
              <w:right w:val="single" w:sz="4" w:space="0" w:color="auto"/>
            </w:tcBorders>
            <w:hideMark/>
          </w:tcPr>
          <w:p w14:paraId="7DEA26C0"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Resource Sufficiency Evaluation Test</w:t>
            </w:r>
          </w:p>
        </w:tc>
        <w:tc>
          <w:tcPr>
            <w:tcW w:w="1016" w:type="pct"/>
            <w:tcBorders>
              <w:top w:val="nil"/>
              <w:left w:val="nil"/>
              <w:bottom w:val="single" w:sz="4" w:space="0" w:color="auto"/>
              <w:right w:val="single" w:sz="4" w:space="0" w:color="auto"/>
            </w:tcBorders>
            <w:hideMark/>
          </w:tcPr>
          <w:p w14:paraId="1ADD9BE6"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prospective EDAM Entity Scheduling Coordinator demonstrates its ability to pass the resource sufficiency evaluation test for the prospective EDAM Entity’s Balancing Authority Area</w:t>
            </w:r>
          </w:p>
        </w:tc>
        <w:tc>
          <w:tcPr>
            <w:tcW w:w="1060" w:type="pct"/>
            <w:tcBorders>
              <w:top w:val="nil"/>
              <w:left w:val="nil"/>
              <w:bottom w:val="single" w:sz="4" w:space="0" w:color="auto"/>
              <w:right w:val="single" w:sz="4" w:space="0" w:color="auto"/>
            </w:tcBorders>
            <w:hideMark/>
          </w:tcPr>
          <w:p w14:paraId="42B27BAE"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Resource Sufficiency Evaluation Test passes 90% of the time (22 hours of the 2- hour day) or greater, with failed hourly intervals within 5% for each failed hour for five non-consecutive days during Parallel Operations.</w:t>
            </w:r>
          </w:p>
        </w:tc>
        <w:tc>
          <w:tcPr>
            <w:tcW w:w="1328" w:type="pct"/>
            <w:tcBorders>
              <w:top w:val="nil"/>
              <w:left w:val="nil"/>
              <w:bottom w:val="single" w:sz="4" w:space="0" w:color="auto"/>
              <w:right w:val="single" w:sz="4" w:space="0" w:color="auto"/>
            </w:tcBorders>
            <w:hideMark/>
          </w:tcPr>
          <w:p w14:paraId="543F93BB"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Screen shots of the RSE reports from CMRI report showing the 90% pass rate</w:t>
            </w:r>
          </w:p>
        </w:tc>
      </w:tr>
      <w:tr w:rsidR="00BF44CA" w:rsidRPr="00746F54" w14:paraId="58F43D0A" w14:textId="77777777" w:rsidTr="00BF44CA">
        <w:trPr>
          <w:trHeight w:val="1785"/>
        </w:trPr>
        <w:tc>
          <w:tcPr>
            <w:tcW w:w="299" w:type="pct"/>
            <w:tcBorders>
              <w:top w:val="nil"/>
              <w:left w:val="single" w:sz="4" w:space="0" w:color="auto"/>
              <w:bottom w:val="single" w:sz="4" w:space="0" w:color="auto"/>
              <w:right w:val="single" w:sz="4" w:space="0" w:color="auto"/>
            </w:tcBorders>
            <w:shd w:val="clear" w:color="000000" w:fill="D9D9D9"/>
            <w:noWrap/>
            <w:hideMark/>
          </w:tcPr>
          <w:p w14:paraId="5026C237"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7</w:t>
            </w:r>
          </w:p>
        </w:tc>
        <w:tc>
          <w:tcPr>
            <w:tcW w:w="555" w:type="pct"/>
            <w:tcBorders>
              <w:top w:val="nil"/>
              <w:left w:val="nil"/>
              <w:bottom w:val="single" w:sz="4" w:space="0" w:color="auto"/>
              <w:right w:val="single" w:sz="4" w:space="0" w:color="auto"/>
            </w:tcBorders>
            <w:shd w:val="clear" w:color="000000" w:fill="D9D9D9"/>
            <w:hideMark/>
          </w:tcPr>
          <w:p w14:paraId="79F5A958"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Transmission Availability</w:t>
            </w:r>
          </w:p>
        </w:tc>
        <w:tc>
          <w:tcPr>
            <w:tcW w:w="742" w:type="pct"/>
            <w:tcBorders>
              <w:top w:val="nil"/>
              <w:left w:val="nil"/>
              <w:bottom w:val="single" w:sz="4" w:space="0" w:color="auto"/>
              <w:right w:val="single" w:sz="4" w:space="0" w:color="auto"/>
            </w:tcBorders>
            <w:hideMark/>
          </w:tcPr>
          <w:p w14:paraId="606E8E5A"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The prospective EDAM Entity registers with the ISO all the transfer </w:t>
            </w:r>
            <w:proofErr w:type="gramStart"/>
            <w:r w:rsidRPr="00746F54">
              <w:rPr>
                <w:rFonts w:ascii="Arial" w:eastAsia="Times New Roman" w:hAnsi="Arial" w:cs="Arial"/>
                <w:sz w:val="20"/>
                <w:szCs w:val="20"/>
              </w:rPr>
              <w:t>path</w:t>
            </w:r>
            <w:proofErr w:type="gramEnd"/>
            <w:r w:rsidRPr="00746F54">
              <w:rPr>
                <w:rFonts w:ascii="Arial" w:eastAsia="Times New Roman" w:hAnsi="Arial" w:cs="Arial"/>
                <w:sz w:val="20"/>
                <w:szCs w:val="20"/>
              </w:rPr>
              <w:t xml:space="preserve"> with other EDAM BAA that could be available for EDAM Transfers.</w:t>
            </w:r>
          </w:p>
        </w:tc>
        <w:tc>
          <w:tcPr>
            <w:tcW w:w="1016" w:type="pct"/>
            <w:tcBorders>
              <w:top w:val="nil"/>
              <w:left w:val="nil"/>
              <w:bottom w:val="single" w:sz="4" w:space="0" w:color="auto"/>
              <w:right w:val="single" w:sz="4" w:space="0" w:color="auto"/>
            </w:tcBorders>
            <w:hideMark/>
          </w:tcPr>
          <w:p w14:paraId="0C57F66E"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Validation of the completed EDAM entity TSR definition template. </w:t>
            </w:r>
          </w:p>
        </w:tc>
        <w:tc>
          <w:tcPr>
            <w:tcW w:w="1060" w:type="pct"/>
            <w:tcBorders>
              <w:top w:val="nil"/>
              <w:left w:val="nil"/>
              <w:bottom w:val="single" w:sz="4" w:space="0" w:color="auto"/>
              <w:right w:val="single" w:sz="4" w:space="0" w:color="auto"/>
            </w:tcBorders>
            <w:hideMark/>
          </w:tcPr>
          <w:p w14:paraId="2595845F" w14:textId="5C1E1935"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prospective EDAM entity submits the TSR definition template (before start of Market SIM</w:t>
            </w:r>
            <w:proofErr w:type="gramStart"/>
            <w:r w:rsidRPr="00746F54">
              <w:rPr>
                <w:rFonts w:ascii="Arial" w:eastAsia="Times New Roman" w:hAnsi="Arial" w:cs="Arial"/>
                <w:sz w:val="20"/>
                <w:szCs w:val="20"/>
              </w:rPr>
              <w:t>)</w:t>
            </w:r>
            <w:proofErr w:type="gramEnd"/>
            <w:r w:rsidRPr="00746F54">
              <w:rPr>
                <w:rFonts w:ascii="Arial" w:eastAsia="Times New Roman" w:hAnsi="Arial" w:cs="Arial"/>
                <w:sz w:val="20"/>
                <w:szCs w:val="20"/>
              </w:rPr>
              <w:t xml:space="preserve"> and it is approved by the ISO </w:t>
            </w:r>
            <w:r w:rsidR="00A62A99" w:rsidRPr="00746F54">
              <w:rPr>
                <w:rFonts w:ascii="Arial" w:eastAsia="Times New Roman" w:hAnsi="Arial" w:cs="Arial"/>
                <w:sz w:val="20"/>
                <w:szCs w:val="20"/>
              </w:rPr>
              <w:t>team and</w:t>
            </w:r>
            <w:r w:rsidRPr="00746F54">
              <w:rPr>
                <w:rFonts w:ascii="Arial" w:eastAsia="Times New Roman" w:hAnsi="Arial" w:cs="Arial"/>
                <w:sz w:val="20"/>
                <w:szCs w:val="20"/>
              </w:rPr>
              <w:t xml:space="preserve"> successfully registered in advance of Parallel Operations.</w:t>
            </w:r>
          </w:p>
        </w:tc>
        <w:tc>
          <w:tcPr>
            <w:tcW w:w="1328" w:type="pct"/>
            <w:tcBorders>
              <w:top w:val="nil"/>
              <w:left w:val="nil"/>
              <w:bottom w:val="single" w:sz="4" w:space="0" w:color="auto"/>
              <w:right w:val="single" w:sz="4" w:space="0" w:color="auto"/>
            </w:tcBorders>
            <w:hideMark/>
          </w:tcPr>
          <w:p w14:paraId="74040301"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TSR definition template approved by the ISO team</w:t>
            </w:r>
          </w:p>
        </w:tc>
      </w:tr>
      <w:tr w:rsidR="00BF44CA" w:rsidRPr="00746F54" w14:paraId="790B3ED6" w14:textId="77777777" w:rsidTr="00D173DE">
        <w:trPr>
          <w:trHeight w:val="4080"/>
        </w:trPr>
        <w:tc>
          <w:tcPr>
            <w:tcW w:w="299" w:type="pct"/>
            <w:tcBorders>
              <w:top w:val="nil"/>
              <w:left w:val="single" w:sz="4" w:space="0" w:color="auto"/>
              <w:bottom w:val="single" w:sz="4" w:space="0" w:color="auto"/>
              <w:right w:val="single" w:sz="4" w:space="0" w:color="auto"/>
            </w:tcBorders>
            <w:shd w:val="clear" w:color="000000" w:fill="D9D9D9"/>
            <w:noWrap/>
            <w:hideMark/>
          </w:tcPr>
          <w:p w14:paraId="2CD69641"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8</w:t>
            </w:r>
          </w:p>
        </w:tc>
        <w:tc>
          <w:tcPr>
            <w:tcW w:w="555" w:type="pct"/>
            <w:tcBorders>
              <w:top w:val="nil"/>
              <w:left w:val="nil"/>
              <w:bottom w:val="single" w:sz="4" w:space="0" w:color="auto"/>
              <w:right w:val="single" w:sz="4" w:space="0" w:color="auto"/>
            </w:tcBorders>
            <w:shd w:val="clear" w:color="000000" w:fill="D9D9D9"/>
            <w:hideMark/>
          </w:tcPr>
          <w:p w14:paraId="3F4F0B7D"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Operating Procedures</w:t>
            </w:r>
          </w:p>
        </w:tc>
        <w:tc>
          <w:tcPr>
            <w:tcW w:w="742" w:type="pct"/>
            <w:tcBorders>
              <w:top w:val="nil"/>
              <w:left w:val="nil"/>
              <w:bottom w:val="single" w:sz="4" w:space="0" w:color="auto"/>
              <w:right w:val="single" w:sz="4" w:space="0" w:color="auto"/>
            </w:tcBorders>
            <w:hideMark/>
          </w:tcPr>
          <w:p w14:paraId="56788603"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Prospective EDAM Entity operating procedures</w:t>
            </w:r>
          </w:p>
        </w:tc>
        <w:tc>
          <w:tcPr>
            <w:tcW w:w="1016" w:type="pct"/>
            <w:tcBorders>
              <w:top w:val="nil"/>
              <w:left w:val="nil"/>
              <w:bottom w:val="single" w:sz="4" w:space="0" w:color="auto"/>
              <w:right w:val="single" w:sz="4" w:space="0" w:color="auto"/>
            </w:tcBorders>
            <w:hideMark/>
          </w:tcPr>
          <w:p w14:paraId="68BA057E"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prospective EDAM Entity’s operating procedures are defined, updated, and tested. If any EDAM Entity operating procedures may impact Entity customers’ participation in EDAM, then customers are properly notified.</w:t>
            </w:r>
          </w:p>
        </w:tc>
        <w:tc>
          <w:tcPr>
            <w:tcW w:w="1060" w:type="pct"/>
            <w:tcBorders>
              <w:top w:val="nil"/>
              <w:left w:val="nil"/>
              <w:bottom w:val="nil"/>
              <w:right w:val="single" w:sz="4" w:space="0" w:color="auto"/>
            </w:tcBorders>
            <w:hideMark/>
          </w:tcPr>
          <w:p w14:paraId="43719BE6"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Prior to parallel operations, the prospective EDAM Entity’s operating procedures are defined, updated, and tested</w:t>
            </w:r>
            <w:r w:rsidRPr="00746F54">
              <w:rPr>
                <w:rFonts w:ascii="Arial" w:eastAsia="Times New Roman" w:hAnsi="Arial" w:cs="Arial"/>
                <w:strike/>
                <w:sz w:val="20"/>
                <w:szCs w:val="20"/>
              </w:rPr>
              <w:t>.</w:t>
            </w:r>
          </w:p>
        </w:tc>
        <w:tc>
          <w:tcPr>
            <w:tcW w:w="1328" w:type="pct"/>
            <w:tcBorders>
              <w:top w:val="nil"/>
              <w:left w:val="single" w:sz="4" w:space="0" w:color="auto"/>
              <w:bottom w:val="single" w:sz="4" w:space="0" w:color="auto"/>
              <w:right w:val="single" w:sz="4" w:space="0" w:color="auto"/>
            </w:tcBorders>
            <w:hideMark/>
          </w:tcPr>
          <w:p w14:paraId="78769A52"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EDAM Entity provides screenshots and an email confirming the documentation is complete and updated, and that customers have been properly informed.</w:t>
            </w:r>
          </w:p>
        </w:tc>
      </w:tr>
      <w:tr w:rsidR="00BF44CA" w:rsidRPr="00746F54" w14:paraId="542E2961" w14:textId="77777777" w:rsidTr="00BF44CA">
        <w:trPr>
          <w:trHeight w:val="3060"/>
        </w:trPr>
        <w:tc>
          <w:tcPr>
            <w:tcW w:w="299" w:type="pct"/>
            <w:tcBorders>
              <w:top w:val="nil"/>
              <w:left w:val="single" w:sz="4" w:space="0" w:color="auto"/>
              <w:bottom w:val="single" w:sz="4" w:space="0" w:color="auto"/>
              <w:right w:val="single" w:sz="4" w:space="0" w:color="auto"/>
            </w:tcBorders>
            <w:shd w:val="clear" w:color="000000" w:fill="D9D9D9"/>
            <w:noWrap/>
            <w:hideMark/>
          </w:tcPr>
          <w:p w14:paraId="3F768C1B"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lastRenderedPageBreak/>
              <w:t>9</w:t>
            </w:r>
          </w:p>
        </w:tc>
        <w:tc>
          <w:tcPr>
            <w:tcW w:w="555" w:type="pct"/>
            <w:tcBorders>
              <w:top w:val="nil"/>
              <w:left w:val="nil"/>
              <w:bottom w:val="single" w:sz="4" w:space="0" w:color="auto"/>
              <w:right w:val="single" w:sz="4" w:space="0" w:color="auto"/>
            </w:tcBorders>
            <w:shd w:val="clear" w:color="000000" w:fill="D9D9D9"/>
            <w:hideMark/>
          </w:tcPr>
          <w:p w14:paraId="41E9C518"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System Readiness &amp; Integration</w:t>
            </w:r>
          </w:p>
        </w:tc>
        <w:tc>
          <w:tcPr>
            <w:tcW w:w="742" w:type="pct"/>
            <w:tcBorders>
              <w:top w:val="nil"/>
              <w:left w:val="nil"/>
              <w:bottom w:val="single" w:sz="4" w:space="0" w:color="auto"/>
              <w:right w:val="single" w:sz="4" w:space="0" w:color="auto"/>
            </w:tcBorders>
            <w:hideMark/>
          </w:tcPr>
          <w:p w14:paraId="403B0907"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Prospective EDAM Entity Identification and system certificates and access  </w:t>
            </w:r>
          </w:p>
        </w:tc>
        <w:tc>
          <w:tcPr>
            <w:tcW w:w="1016" w:type="pct"/>
            <w:tcBorders>
              <w:top w:val="nil"/>
              <w:left w:val="nil"/>
              <w:bottom w:val="single" w:sz="4" w:space="0" w:color="auto"/>
              <w:right w:val="single" w:sz="4" w:space="0" w:color="auto"/>
            </w:tcBorders>
            <w:hideMark/>
          </w:tcPr>
          <w:p w14:paraId="33D62D2E" w14:textId="3B6963CC"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Validation of SCID’s and Resource </w:t>
            </w:r>
            <w:r w:rsidR="00A62A99" w:rsidRPr="00746F54">
              <w:rPr>
                <w:rFonts w:ascii="Arial" w:eastAsia="Times New Roman" w:hAnsi="Arial" w:cs="Arial"/>
                <w:sz w:val="20"/>
                <w:szCs w:val="20"/>
              </w:rPr>
              <w:t>IDs</w:t>
            </w:r>
            <w:r w:rsidRPr="00746F54">
              <w:rPr>
                <w:rFonts w:ascii="Arial" w:eastAsia="Times New Roman" w:hAnsi="Arial" w:cs="Arial"/>
                <w:sz w:val="20"/>
                <w:szCs w:val="20"/>
              </w:rPr>
              <w:t xml:space="preserve">. All prospective EDAM Entity employees who require system access to perform EDAM-related job functions </w:t>
            </w:r>
            <w:proofErr w:type="gramStart"/>
            <w:r w:rsidRPr="00746F54">
              <w:rPr>
                <w:rFonts w:ascii="Arial" w:eastAsia="Times New Roman" w:hAnsi="Arial" w:cs="Arial"/>
                <w:sz w:val="20"/>
                <w:szCs w:val="20"/>
              </w:rPr>
              <w:t>identified</w:t>
            </w:r>
            <w:proofErr w:type="gramEnd"/>
            <w:r w:rsidRPr="00746F54">
              <w:rPr>
                <w:rFonts w:ascii="Arial" w:eastAsia="Times New Roman" w:hAnsi="Arial" w:cs="Arial"/>
                <w:sz w:val="20"/>
                <w:szCs w:val="20"/>
              </w:rPr>
              <w:t xml:space="preserve"> and have necessary certificates.</w:t>
            </w:r>
          </w:p>
        </w:tc>
        <w:tc>
          <w:tcPr>
            <w:tcW w:w="1060" w:type="pct"/>
            <w:tcBorders>
              <w:top w:val="single" w:sz="4" w:space="0" w:color="auto"/>
              <w:left w:val="nil"/>
              <w:bottom w:val="single" w:sz="4" w:space="0" w:color="auto"/>
              <w:right w:val="single" w:sz="4" w:space="0" w:color="auto"/>
            </w:tcBorders>
            <w:hideMark/>
          </w:tcPr>
          <w:p w14:paraId="3A901D2C"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All prospective EDAM Employees performing job functions for EDAM market are identified.</w:t>
            </w:r>
            <w:r w:rsidRPr="00746F54">
              <w:rPr>
                <w:rFonts w:ascii="Arial" w:eastAsia="Times New Roman" w:hAnsi="Arial" w:cs="Arial"/>
                <w:sz w:val="20"/>
                <w:szCs w:val="20"/>
              </w:rPr>
              <w:br/>
              <w:t xml:space="preserve">All ISO issued certificates are requested within the appropriate timeframes. </w:t>
            </w:r>
            <w:r w:rsidRPr="00746F54">
              <w:rPr>
                <w:rFonts w:ascii="Arial" w:eastAsia="Times New Roman" w:hAnsi="Arial" w:cs="Arial"/>
                <w:sz w:val="20"/>
                <w:szCs w:val="20"/>
              </w:rPr>
              <w:br/>
              <w:t>All identified employees provided the necessary EDAM system access certificates.</w:t>
            </w:r>
          </w:p>
        </w:tc>
        <w:tc>
          <w:tcPr>
            <w:tcW w:w="1328" w:type="pct"/>
            <w:tcBorders>
              <w:top w:val="nil"/>
              <w:left w:val="nil"/>
              <w:bottom w:val="single" w:sz="4" w:space="0" w:color="auto"/>
              <w:right w:val="single" w:sz="4" w:space="0" w:color="auto"/>
            </w:tcBorders>
            <w:hideMark/>
          </w:tcPr>
          <w:p w14:paraId="45BBE432"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EDAM Entity provides an email stating that all access is in place for Market SIM and a plan is in place to ensure all access is in place for production. </w:t>
            </w:r>
            <w:r w:rsidRPr="00746F54">
              <w:rPr>
                <w:rFonts w:ascii="Arial" w:eastAsia="Times New Roman" w:hAnsi="Arial" w:cs="Arial"/>
                <w:sz w:val="20"/>
                <w:szCs w:val="20"/>
              </w:rPr>
              <w:br/>
            </w:r>
            <w:r w:rsidRPr="00746F54">
              <w:rPr>
                <w:rFonts w:ascii="Arial" w:eastAsia="Times New Roman" w:hAnsi="Arial" w:cs="Arial"/>
                <w:sz w:val="20"/>
                <w:szCs w:val="20"/>
              </w:rPr>
              <w:br/>
              <w:t>Customer Onboarding specialist provides an email confirming that access is in place and there is a plan for ensuring access for Production.</w:t>
            </w:r>
          </w:p>
        </w:tc>
      </w:tr>
      <w:tr w:rsidR="00BF44CA" w:rsidRPr="00746F54" w14:paraId="67A97454" w14:textId="77777777" w:rsidTr="00BF44CA">
        <w:trPr>
          <w:trHeight w:val="6630"/>
        </w:trPr>
        <w:tc>
          <w:tcPr>
            <w:tcW w:w="299" w:type="pct"/>
            <w:tcBorders>
              <w:top w:val="nil"/>
              <w:left w:val="single" w:sz="4" w:space="0" w:color="auto"/>
              <w:bottom w:val="single" w:sz="4" w:space="0" w:color="auto"/>
              <w:right w:val="single" w:sz="4" w:space="0" w:color="auto"/>
            </w:tcBorders>
            <w:shd w:val="clear" w:color="000000" w:fill="D9D9D9"/>
            <w:noWrap/>
            <w:hideMark/>
          </w:tcPr>
          <w:p w14:paraId="09F65891"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10</w:t>
            </w:r>
          </w:p>
        </w:tc>
        <w:tc>
          <w:tcPr>
            <w:tcW w:w="555" w:type="pct"/>
            <w:tcBorders>
              <w:top w:val="nil"/>
              <w:left w:val="nil"/>
              <w:bottom w:val="single" w:sz="4" w:space="0" w:color="auto"/>
              <w:right w:val="single" w:sz="4" w:space="0" w:color="auto"/>
            </w:tcBorders>
            <w:shd w:val="clear" w:color="000000" w:fill="D9D9D9"/>
            <w:hideMark/>
          </w:tcPr>
          <w:p w14:paraId="4AB05C7C"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 xml:space="preserve">Market Simulation  </w:t>
            </w:r>
          </w:p>
        </w:tc>
        <w:tc>
          <w:tcPr>
            <w:tcW w:w="742" w:type="pct"/>
            <w:tcBorders>
              <w:top w:val="nil"/>
              <w:left w:val="nil"/>
              <w:bottom w:val="single" w:sz="4" w:space="0" w:color="auto"/>
              <w:right w:val="single" w:sz="4" w:space="0" w:color="auto"/>
            </w:tcBorders>
            <w:hideMark/>
          </w:tcPr>
          <w:p w14:paraId="6AD8E885"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Market Simulation and structured scenario execution</w:t>
            </w:r>
          </w:p>
        </w:tc>
        <w:tc>
          <w:tcPr>
            <w:tcW w:w="1016" w:type="pct"/>
            <w:tcBorders>
              <w:top w:val="nil"/>
              <w:left w:val="nil"/>
              <w:bottom w:val="single" w:sz="4" w:space="0" w:color="auto"/>
              <w:right w:val="single" w:sz="4" w:space="0" w:color="auto"/>
            </w:tcBorders>
            <w:hideMark/>
          </w:tcPr>
          <w:p w14:paraId="1E5D309A"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prospective EDAM Entity operators execute and pass all structured scenarios provided by ISO.</w:t>
            </w:r>
          </w:p>
        </w:tc>
        <w:tc>
          <w:tcPr>
            <w:tcW w:w="1060" w:type="pct"/>
            <w:tcBorders>
              <w:top w:val="nil"/>
              <w:left w:val="nil"/>
              <w:bottom w:val="single" w:sz="4" w:space="0" w:color="auto"/>
              <w:right w:val="single" w:sz="4" w:space="0" w:color="auto"/>
            </w:tcBorders>
            <w:hideMark/>
          </w:tcPr>
          <w:p w14:paraId="781E4834"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All significant issues resolved or have an interim solution that is functionally equivalent. </w:t>
            </w:r>
          </w:p>
        </w:tc>
        <w:tc>
          <w:tcPr>
            <w:tcW w:w="1328" w:type="pct"/>
            <w:tcBorders>
              <w:top w:val="nil"/>
              <w:left w:val="nil"/>
              <w:bottom w:val="single" w:sz="4" w:space="0" w:color="auto"/>
              <w:right w:val="single" w:sz="4" w:space="0" w:color="auto"/>
            </w:tcBorders>
            <w:hideMark/>
          </w:tcPr>
          <w:p w14:paraId="3CC4DEF0"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ISO provides a completed Structured Scenario Reports (Detailed Input-Output for Structured Scenarios by week) and a Structured Scenario Status matrix.</w:t>
            </w:r>
            <w:r w:rsidRPr="00746F54">
              <w:rPr>
                <w:rFonts w:ascii="Arial" w:eastAsia="Times New Roman" w:hAnsi="Arial" w:cs="Arial"/>
                <w:sz w:val="20"/>
                <w:szCs w:val="20"/>
              </w:rPr>
              <w:br/>
            </w:r>
            <w:r w:rsidRPr="00746F54">
              <w:rPr>
                <w:rFonts w:ascii="Arial" w:eastAsia="Times New Roman" w:hAnsi="Arial" w:cs="Arial"/>
                <w:sz w:val="20"/>
                <w:szCs w:val="20"/>
              </w:rPr>
              <w:br/>
              <w:t>EDAM Entity sends a confirmation email identifying any approved incomplete cases/validations.</w:t>
            </w:r>
            <w:r w:rsidRPr="00746F54">
              <w:rPr>
                <w:rFonts w:ascii="Arial" w:eastAsia="Times New Roman" w:hAnsi="Arial" w:cs="Arial"/>
                <w:sz w:val="20"/>
                <w:szCs w:val="20"/>
              </w:rPr>
              <w:br/>
            </w:r>
            <w:r w:rsidRPr="00746F54">
              <w:rPr>
                <w:rFonts w:ascii="Arial" w:eastAsia="Times New Roman" w:hAnsi="Arial" w:cs="Arial"/>
                <w:sz w:val="20"/>
                <w:szCs w:val="20"/>
              </w:rPr>
              <w:br/>
              <w:t>ISO sends confirmation email.</w:t>
            </w:r>
          </w:p>
        </w:tc>
      </w:tr>
      <w:tr w:rsidR="00BF44CA" w:rsidRPr="00746F54" w14:paraId="417EA01E" w14:textId="77777777" w:rsidTr="00BF44CA">
        <w:trPr>
          <w:trHeight w:val="2295"/>
        </w:trPr>
        <w:tc>
          <w:tcPr>
            <w:tcW w:w="299" w:type="pct"/>
            <w:tcBorders>
              <w:top w:val="nil"/>
              <w:left w:val="single" w:sz="4" w:space="0" w:color="auto"/>
              <w:bottom w:val="single" w:sz="4" w:space="0" w:color="auto"/>
              <w:right w:val="single" w:sz="4" w:space="0" w:color="auto"/>
            </w:tcBorders>
            <w:shd w:val="clear" w:color="000000" w:fill="D9D9D9"/>
            <w:noWrap/>
            <w:hideMark/>
          </w:tcPr>
          <w:p w14:paraId="6AE09DDE"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lastRenderedPageBreak/>
              <w:t>11</w:t>
            </w:r>
          </w:p>
        </w:tc>
        <w:tc>
          <w:tcPr>
            <w:tcW w:w="555" w:type="pct"/>
            <w:tcBorders>
              <w:top w:val="nil"/>
              <w:left w:val="nil"/>
              <w:bottom w:val="single" w:sz="4" w:space="0" w:color="auto"/>
              <w:right w:val="single" w:sz="4" w:space="0" w:color="auto"/>
            </w:tcBorders>
            <w:shd w:val="clear" w:color="000000" w:fill="D9D9D9"/>
            <w:hideMark/>
          </w:tcPr>
          <w:p w14:paraId="4615484E"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System Readiness &amp; Integration</w:t>
            </w:r>
          </w:p>
        </w:tc>
        <w:tc>
          <w:tcPr>
            <w:tcW w:w="742" w:type="pct"/>
            <w:tcBorders>
              <w:top w:val="nil"/>
              <w:left w:val="nil"/>
              <w:bottom w:val="single" w:sz="4" w:space="0" w:color="auto"/>
              <w:right w:val="single" w:sz="4" w:space="0" w:color="auto"/>
            </w:tcBorders>
            <w:hideMark/>
          </w:tcPr>
          <w:p w14:paraId="3983BF83"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System and Functional Testing </w:t>
            </w:r>
          </w:p>
        </w:tc>
        <w:tc>
          <w:tcPr>
            <w:tcW w:w="1016" w:type="pct"/>
            <w:tcBorders>
              <w:top w:val="nil"/>
              <w:left w:val="nil"/>
              <w:bottom w:val="single" w:sz="4" w:space="0" w:color="auto"/>
              <w:right w:val="single" w:sz="4" w:space="0" w:color="auto"/>
            </w:tcBorders>
            <w:hideMark/>
          </w:tcPr>
          <w:p w14:paraId="0E56E301" w14:textId="39DD5669"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The prospective EDAM Entity will test the functional and system elements, including all interfaces between ISO and the EDAM Entity, in accordance </w:t>
            </w:r>
            <w:r w:rsidR="00A62A99" w:rsidRPr="00746F54">
              <w:rPr>
                <w:rFonts w:ascii="Arial" w:eastAsia="Times New Roman" w:hAnsi="Arial" w:cs="Arial"/>
                <w:sz w:val="20"/>
                <w:szCs w:val="20"/>
              </w:rPr>
              <w:t>with functional</w:t>
            </w:r>
            <w:r w:rsidRPr="00746F54">
              <w:rPr>
                <w:rFonts w:ascii="Arial" w:eastAsia="Times New Roman" w:hAnsi="Arial" w:cs="Arial"/>
                <w:sz w:val="20"/>
                <w:szCs w:val="20"/>
              </w:rPr>
              <w:t xml:space="preserve"> and system testing documentation posted on the ISO website.</w:t>
            </w:r>
          </w:p>
        </w:tc>
        <w:tc>
          <w:tcPr>
            <w:tcW w:w="1060" w:type="pct"/>
            <w:tcBorders>
              <w:top w:val="nil"/>
              <w:left w:val="nil"/>
              <w:bottom w:val="single" w:sz="4" w:space="0" w:color="auto"/>
              <w:right w:val="single" w:sz="4" w:space="0" w:color="auto"/>
            </w:tcBorders>
            <w:hideMark/>
          </w:tcPr>
          <w:p w14:paraId="364F4BBF"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All tasks identified in the functional and system testing documentation are complete and will not have any issues deemed significant. </w:t>
            </w:r>
            <w:r w:rsidRPr="00746F54">
              <w:rPr>
                <w:rFonts w:ascii="Arial" w:eastAsia="Times New Roman" w:hAnsi="Arial" w:cs="Arial"/>
                <w:sz w:val="20"/>
                <w:szCs w:val="20"/>
              </w:rPr>
              <w:br/>
              <w:t xml:space="preserve">Any exceptions will be explained or have an interim solution that is functionally equivalent. </w:t>
            </w:r>
          </w:p>
        </w:tc>
        <w:tc>
          <w:tcPr>
            <w:tcW w:w="1328" w:type="pct"/>
            <w:tcBorders>
              <w:top w:val="nil"/>
              <w:left w:val="nil"/>
              <w:bottom w:val="single" w:sz="4" w:space="0" w:color="auto"/>
              <w:right w:val="single" w:sz="4" w:space="0" w:color="auto"/>
            </w:tcBorders>
            <w:hideMark/>
          </w:tcPr>
          <w:p w14:paraId="1B19A293"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EDAM Entity provides the EDAM Testing Timeline Summary indicating that the Functional Testing is complete. EDAM Entity may also include reports from their test system showing that all test cases were executed and passed, identifying any approved incomplete cases and interim solution.</w:t>
            </w:r>
            <w:r w:rsidRPr="00746F54">
              <w:rPr>
                <w:rFonts w:ascii="Arial" w:eastAsia="Times New Roman" w:hAnsi="Arial" w:cs="Arial"/>
                <w:sz w:val="20"/>
                <w:szCs w:val="20"/>
              </w:rPr>
              <w:br/>
            </w:r>
            <w:r w:rsidRPr="00746F54">
              <w:rPr>
                <w:rFonts w:ascii="Arial" w:eastAsia="Times New Roman" w:hAnsi="Arial" w:cs="Arial"/>
                <w:sz w:val="20"/>
                <w:szCs w:val="20"/>
              </w:rPr>
              <w:br/>
              <w:t>ISO Integration Lead sends confirmation email.</w:t>
            </w:r>
          </w:p>
        </w:tc>
      </w:tr>
      <w:tr w:rsidR="00BF44CA" w:rsidRPr="00746F54" w14:paraId="3DF32554" w14:textId="77777777" w:rsidTr="00BF44CA">
        <w:trPr>
          <w:trHeight w:val="1785"/>
        </w:trPr>
        <w:tc>
          <w:tcPr>
            <w:tcW w:w="299" w:type="pct"/>
            <w:tcBorders>
              <w:top w:val="nil"/>
              <w:left w:val="single" w:sz="4" w:space="0" w:color="auto"/>
              <w:bottom w:val="single" w:sz="4" w:space="0" w:color="auto"/>
              <w:right w:val="single" w:sz="4" w:space="0" w:color="auto"/>
            </w:tcBorders>
            <w:shd w:val="clear" w:color="000000" w:fill="D9D9D9"/>
            <w:noWrap/>
            <w:hideMark/>
          </w:tcPr>
          <w:p w14:paraId="31D17A03"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12</w:t>
            </w:r>
          </w:p>
        </w:tc>
        <w:tc>
          <w:tcPr>
            <w:tcW w:w="555" w:type="pct"/>
            <w:tcBorders>
              <w:top w:val="nil"/>
              <w:left w:val="nil"/>
              <w:bottom w:val="single" w:sz="4" w:space="0" w:color="auto"/>
              <w:right w:val="single" w:sz="4" w:space="0" w:color="auto"/>
            </w:tcBorders>
            <w:shd w:val="clear" w:color="000000" w:fill="D9D9D9"/>
            <w:hideMark/>
          </w:tcPr>
          <w:p w14:paraId="4C429A22"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Settlements</w:t>
            </w:r>
          </w:p>
        </w:tc>
        <w:tc>
          <w:tcPr>
            <w:tcW w:w="742" w:type="pct"/>
            <w:tcBorders>
              <w:top w:val="nil"/>
              <w:left w:val="nil"/>
              <w:bottom w:val="single" w:sz="4" w:space="0" w:color="auto"/>
              <w:right w:val="single" w:sz="4" w:space="0" w:color="auto"/>
            </w:tcBorders>
            <w:hideMark/>
          </w:tcPr>
          <w:p w14:paraId="321FEA69"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EDAM Scheduling coordinators (Entity or PRSC) direct settlement with ISO.</w:t>
            </w:r>
          </w:p>
        </w:tc>
        <w:tc>
          <w:tcPr>
            <w:tcW w:w="1016" w:type="pct"/>
            <w:tcBorders>
              <w:top w:val="nil"/>
              <w:left w:val="nil"/>
              <w:bottom w:val="single" w:sz="4" w:space="0" w:color="auto"/>
              <w:right w:val="single" w:sz="4" w:space="0" w:color="auto"/>
            </w:tcBorders>
            <w:hideMark/>
          </w:tcPr>
          <w:p w14:paraId="0D7092BE"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ISO Settlement statements and invoices match the operational data published to stakeholders or fed into settlement system and the resulting calculations correspond to the formulas defined in ISO’s tariff and BPMs</w:t>
            </w:r>
          </w:p>
        </w:tc>
        <w:tc>
          <w:tcPr>
            <w:tcW w:w="1060" w:type="pct"/>
            <w:tcBorders>
              <w:top w:val="nil"/>
              <w:left w:val="nil"/>
              <w:bottom w:val="single" w:sz="4" w:space="0" w:color="auto"/>
              <w:right w:val="single" w:sz="4" w:space="0" w:color="auto"/>
            </w:tcBorders>
            <w:hideMark/>
          </w:tcPr>
          <w:p w14:paraId="32BA3946"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Daily and /or Monthly settlement statement and Weekly invoice that correspond with appropriate Settlement statements. Settlements produced during parallel operations are verifiably accurate against available data. </w:t>
            </w:r>
          </w:p>
        </w:tc>
        <w:tc>
          <w:tcPr>
            <w:tcW w:w="1328" w:type="pct"/>
            <w:tcBorders>
              <w:top w:val="nil"/>
              <w:left w:val="nil"/>
              <w:bottom w:val="single" w:sz="4" w:space="0" w:color="auto"/>
              <w:right w:val="single" w:sz="4" w:space="0" w:color="auto"/>
            </w:tcBorders>
            <w:hideMark/>
          </w:tcPr>
          <w:p w14:paraId="2D33F963"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ISO will ensure that we publish all the related Settlement Statements and Invoices during Market Sim and Parallel Ops.  We also confirm through Track 5 </w:t>
            </w:r>
            <w:proofErr w:type="gramStart"/>
            <w:r w:rsidRPr="00746F54">
              <w:rPr>
                <w:rFonts w:ascii="Arial" w:eastAsia="Times New Roman" w:hAnsi="Arial" w:cs="Arial"/>
                <w:sz w:val="20"/>
                <w:szCs w:val="20"/>
              </w:rPr>
              <w:t>calls,</w:t>
            </w:r>
            <w:proofErr w:type="gramEnd"/>
            <w:r w:rsidRPr="00746F54">
              <w:rPr>
                <w:rFonts w:ascii="Arial" w:eastAsia="Times New Roman" w:hAnsi="Arial" w:cs="Arial"/>
                <w:sz w:val="20"/>
                <w:szCs w:val="20"/>
              </w:rPr>
              <w:t xml:space="preserve"> Entity email that they understood all the changes related to charge codes </w:t>
            </w:r>
            <w:proofErr w:type="gramStart"/>
            <w:r w:rsidRPr="00746F54">
              <w:rPr>
                <w:rFonts w:ascii="Arial" w:eastAsia="Times New Roman" w:hAnsi="Arial" w:cs="Arial"/>
                <w:sz w:val="20"/>
                <w:szCs w:val="20"/>
              </w:rPr>
              <w:t>with regard to</w:t>
            </w:r>
            <w:proofErr w:type="gramEnd"/>
            <w:r w:rsidRPr="00746F54">
              <w:rPr>
                <w:rFonts w:ascii="Arial" w:eastAsia="Times New Roman" w:hAnsi="Arial" w:cs="Arial"/>
                <w:sz w:val="20"/>
                <w:szCs w:val="20"/>
              </w:rPr>
              <w:t xml:space="preserve"> DAME/EDAM.</w:t>
            </w:r>
          </w:p>
        </w:tc>
      </w:tr>
      <w:tr w:rsidR="00BF44CA" w:rsidRPr="00746F54" w14:paraId="6CF7CEF7" w14:textId="77777777" w:rsidTr="00BF44CA">
        <w:trPr>
          <w:trHeight w:val="1530"/>
        </w:trPr>
        <w:tc>
          <w:tcPr>
            <w:tcW w:w="299" w:type="pct"/>
            <w:tcBorders>
              <w:top w:val="nil"/>
              <w:left w:val="single" w:sz="4" w:space="0" w:color="auto"/>
              <w:bottom w:val="single" w:sz="4" w:space="0" w:color="auto"/>
              <w:right w:val="single" w:sz="4" w:space="0" w:color="auto"/>
            </w:tcBorders>
            <w:shd w:val="clear" w:color="000000" w:fill="D9D9D9"/>
            <w:noWrap/>
            <w:hideMark/>
          </w:tcPr>
          <w:p w14:paraId="33EBE39B"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13</w:t>
            </w:r>
          </w:p>
        </w:tc>
        <w:tc>
          <w:tcPr>
            <w:tcW w:w="555" w:type="pct"/>
            <w:tcBorders>
              <w:top w:val="nil"/>
              <w:left w:val="nil"/>
              <w:bottom w:val="single" w:sz="4" w:space="0" w:color="auto"/>
              <w:right w:val="single" w:sz="4" w:space="0" w:color="auto"/>
            </w:tcBorders>
            <w:shd w:val="clear" w:color="000000" w:fill="D9D9D9"/>
            <w:hideMark/>
          </w:tcPr>
          <w:p w14:paraId="7B876DD9"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Settlements</w:t>
            </w:r>
          </w:p>
        </w:tc>
        <w:tc>
          <w:tcPr>
            <w:tcW w:w="742" w:type="pct"/>
            <w:tcBorders>
              <w:top w:val="nil"/>
              <w:left w:val="nil"/>
              <w:bottom w:val="single" w:sz="4" w:space="0" w:color="auto"/>
              <w:right w:val="single" w:sz="4" w:space="0" w:color="auto"/>
            </w:tcBorders>
            <w:hideMark/>
          </w:tcPr>
          <w:p w14:paraId="158E150C"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EDAM entities Settlement sub-allocations of Costs assigned to the EDAM entity.</w:t>
            </w:r>
          </w:p>
        </w:tc>
        <w:tc>
          <w:tcPr>
            <w:tcW w:w="1016" w:type="pct"/>
            <w:tcBorders>
              <w:top w:val="nil"/>
              <w:left w:val="nil"/>
              <w:bottom w:val="single" w:sz="4" w:space="0" w:color="auto"/>
              <w:right w:val="single" w:sz="4" w:space="0" w:color="auto"/>
            </w:tcBorders>
            <w:hideMark/>
          </w:tcPr>
          <w:p w14:paraId="06CA208A"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Verification that settlement statements and invoices </w:t>
            </w:r>
            <w:proofErr w:type="gramStart"/>
            <w:r w:rsidRPr="00746F54">
              <w:rPr>
                <w:rFonts w:ascii="Arial" w:eastAsia="Times New Roman" w:hAnsi="Arial" w:cs="Arial"/>
                <w:sz w:val="20"/>
                <w:szCs w:val="20"/>
              </w:rPr>
              <w:t>allocates</w:t>
            </w:r>
            <w:proofErr w:type="gramEnd"/>
            <w:r w:rsidRPr="00746F54">
              <w:rPr>
                <w:rFonts w:ascii="Arial" w:eastAsia="Times New Roman" w:hAnsi="Arial" w:cs="Arial"/>
                <w:sz w:val="20"/>
                <w:szCs w:val="20"/>
              </w:rPr>
              <w:t xml:space="preserve"> charges and credits to its customers accurately reflecting system and market data.</w:t>
            </w:r>
          </w:p>
        </w:tc>
        <w:tc>
          <w:tcPr>
            <w:tcW w:w="1060" w:type="pct"/>
            <w:tcBorders>
              <w:top w:val="nil"/>
              <w:left w:val="nil"/>
              <w:bottom w:val="single" w:sz="4" w:space="0" w:color="auto"/>
              <w:right w:val="single" w:sz="4" w:space="0" w:color="auto"/>
            </w:tcBorders>
            <w:hideMark/>
          </w:tcPr>
          <w:p w14:paraId="134F03EF"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The prospective Entity settlement statements and invoices that allocate charges and credits to its customers accurately reflect system and market data during parallel operations.  </w:t>
            </w:r>
          </w:p>
        </w:tc>
        <w:tc>
          <w:tcPr>
            <w:tcW w:w="1328" w:type="pct"/>
            <w:tcBorders>
              <w:top w:val="nil"/>
              <w:left w:val="nil"/>
              <w:bottom w:val="single" w:sz="4" w:space="0" w:color="auto"/>
              <w:right w:val="single" w:sz="4" w:space="0" w:color="auto"/>
            </w:tcBorders>
            <w:hideMark/>
          </w:tcPr>
          <w:p w14:paraId="5956AB55"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ISO will ensure that we publish all the related Settlement Statements and Invoices during Market Sim and Parallel Ops. We also confirm through Track 5 </w:t>
            </w:r>
            <w:proofErr w:type="gramStart"/>
            <w:r w:rsidRPr="00746F54">
              <w:rPr>
                <w:rFonts w:ascii="Arial" w:eastAsia="Times New Roman" w:hAnsi="Arial" w:cs="Arial"/>
                <w:sz w:val="20"/>
                <w:szCs w:val="20"/>
              </w:rPr>
              <w:t>calls,</w:t>
            </w:r>
            <w:proofErr w:type="gramEnd"/>
            <w:r w:rsidRPr="00746F54">
              <w:rPr>
                <w:rFonts w:ascii="Arial" w:eastAsia="Times New Roman" w:hAnsi="Arial" w:cs="Arial"/>
                <w:sz w:val="20"/>
                <w:szCs w:val="20"/>
              </w:rPr>
              <w:t xml:space="preserve"> Entity email that they </w:t>
            </w:r>
            <w:r w:rsidRPr="00746F54">
              <w:rPr>
                <w:rFonts w:ascii="Arial" w:eastAsia="Times New Roman" w:hAnsi="Arial" w:cs="Arial"/>
                <w:sz w:val="20"/>
                <w:szCs w:val="20"/>
              </w:rPr>
              <w:lastRenderedPageBreak/>
              <w:t xml:space="preserve">understood all the changes related to charge codes </w:t>
            </w:r>
            <w:proofErr w:type="gramStart"/>
            <w:r w:rsidRPr="00746F54">
              <w:rPr>
                <w:rFonts w:ascii="Arial" w:eastAsia="Times New Roman" w:hAnsi="Arial" w:cs="Arial"/>
                <w:sz w:val="20"/>
                <w:szCs w:val="20"/>
              </w:rPr>
              <w:t>with regard to</w:t>
            </w:r>
            <w:proofErr w:type="gramEnd"/>
            <w:r w:rsidRPr="00746F54">
              <w:rPr>
                <w:rFonts w:ascii="Arial" w:eastAsia="Times New Roman" w:hAnsi="Arial" w:cs="Arial"/>
                <w:sz w:val="20"/>
                <w:szCs w:val="20"/>
              </w:rPr>
              <w:t xml:space="preserve"> DAME/EDAM.</w:t>
            </w:r>
          </w:p>
        </w:tc>
      </w:tr>
      <w:tr w:rsidR="00BF44CA" w:rsidRPr="00746F54" w14:paraId="2DFF9ADD" w14:textId="77777777" w:rsidTr="00BF44CA">
        <w:trPr>
          <w:trHeight w:val="6120"/>
        </w:trPr>
        <w:tc>
          <w:tcPr>
            <w:tcW w:w="299" w:type="pct"/>
            <w:tcBorders>
              <w:top w:val="nil"/>
              <w:left w:val="single" w:sz="4" w:space="0" w:color="auto"/>
              <w:bottom w:val="single" w:sz="4" w:space="0" w:color="auto"/>
              <w:right w:val="single" w:sz="4" w:space="0" w:color="auto"/>
            </w:tcBorders>
            <w:shd w:val="clear" w:color="000000" w:fill="D9D9D9"/>
            <w:noWrap/>
            <w:hideMark/>
          </w:tcPr>
          <w:p w14:paraId="79CBD9EE"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lastRenderedPageBreak/>
              <w:t>14</w:t>
            </w:r>
          </w:p>
        </w:tc>
        <w:tc>
          <w:tcPr>
            <w:tcW w:w="555" w:type="pct"/>
            <w:tcBorders>
              <w:top w:val="nil"/>
              <w:left w:val="nil"/>
              <w:bottom w:val="single" w:sz="4" w:space="0" w:color="auto"/>
              <w:right w:val="single" w:sz="4" w:space="0" w:color="auto"/>
            </w:tcBorders>
            <w:shd w:val="clear" w:color="000000" w:fill="D9D9D9"/>
            <w:hideMark/>
          </w:tcPr>
          <w:p w14:paraId="1C747793"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Historical Transmission Revenue Recovery</w:t>
            </w:r>
          </w:p>
        </w:tc>
        <w:tc>
          <w:tcPr>
            <w:tcW w:w="742" w:type="pct"/>
            <w:tcBorders>
              <w:top w:val="nil"/>
              <w:left w:val="nil"/>
              <w:bottom w:val="single" w:sz="4" w:space="0" w:color="auto"/>
              <w:right w:val="single" w:sz="4" w:space="0" w:color="auto"/>
            </w:tcBorders>
            <w:hideMark/>
          </w:tcPr>
          <w:p w14:paraId="3B1BFC79"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EDAM Entity provides the ISO with the information necessary to account for the EDAM recoverable revenue associated with the EDAM Transmission Service Providers in its Balancing Authority Area.</w:t>
            </w:r>
            <w:r w:rsidRPr="00746F54">
              <w:rPr>
                <w:rFonts w:ascii="Arial" w:eastAsia="Times New Roman" w:hAnsi="Arial" w:cs="Arial"/>
                <w:sz w:val="20"/>
                <w:szCs w:val="20"/>
              </w:rPr>
              <w:br/>
            </w:r>
            <w:r w:rsidRPr="00746F54">
              <w:rPr>
                <w:rFonts w:ascii="Arial" w:eastAsia="Times New Roman" w:hAnsi="Arial" w:cs="Arial"/>
                <w:sz w:val="20"/>
                <w:szCs w:val="20"/>
              </w:rPr>
              <w:br/>
              <w:t>If they are not going to provide, it should not prevent go-live.</w:t>
            </w:r>
            <w:r w:rsidRPr="00746F54">
              <w:rPr>
                <w:rFonts w:ascii="Arial" w:eastAsia="Times New Roman" w:hAnsi="Arial" w:cs="Arial"/>
                <w:sz w:val="20"/>
                <w:szCs w:val="20"/>
              </w:rPr>
              <w:br/>
            </w:r>
            <w:r w:rsidRPr="00746F54">
              <w:rPr>
                <w:rFonts w:ascii="Arial" w:eastAsia="Times New Roman" w:hAnsi="Arial" w:cs="Arial"/>
                <w:sz w:val="20"/>
                <w:szCs w:val="20"/>
              </w:rPr>
              <w:br/>
              <w:t>Note: If the entity does not provide us the information, we will use mock up information for parallel operations; however, it will not be updated to production.</w:t>
            </w:r>
            <w:r w:rsidRPr="00746F54">
              <w:rPr>
                <w:rFonts w:ascii="Arial" w:eastAsia="Times New Roman" w:hAnsi="Arial" w:cs="Arial"/>
                <w:sz w:val="20"/>
                <w:szCs w:val="20"/>
              </w:rPr>
              <w:br/>
            </w:r>
            <w:r w:rsidRPr="00746F54">
              <w:rPr>
                <w:rFonts w:ascii="Arial" w:eastAsia="Times New Roman" w:hAnsi="Arial" w:cs="Arial"/>
                <w:sz w:val="20"/>
                <w:szCs w:val="20"/>
              </w:rPr>
              <w:br/>
            </w:r>
            <w:r w:rsidRPr="00746F54">
              <w:rPr>
                <w:rFonts w:ascii="Arial" w:eastAsia="Times New Roman" w:hAnsi="Arial" w:cs="Arial"/>
                <w:sz w:val="20"/>
                <w:szCs w:val="20"/>
              </w:rPr>
              <w:lastRenderedPageBreak/>
              <w:t>(EDAM access charge).</w:t>
            </w:r>
          </w:p>
        </w:tc>
        <w:tc>
          <w:tcPr>
            <w:tcW w:w="1016" w:type="pct"/>
            <w:tcBorders>
              <w:top w:val="nil"/>
              <w:left w:val="nil"/>
              <w:bottom w:val="single" w:sz="4" w:space="0" w:color="auto"/>
              <w:right w:val="single" w:sz="4" w:space="0" w:color="auto"/>
            </w:tcBorders>
            <w:hideMark/>
          </w:tcPr>
          <w:p w14:paraId="3BB17F08"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lastRenderedPageBreak/>
              <w:t>Verification that the EDAM Entity submitted EDAM recoverable revenue has been incorporated into the EDAM recoverable charge codes including EDAM recoverable rates and assessment to gross load.</w:t>
            </w:r>
          </w:p>
        </w:tc>
        <w:tc>
          <w:tcPr>
            <w:tcW w:w="1060" w:type="pct"/>
            <w:tcBorders>
              <w:top w:val="nil"/>
              <w:left w:val="nil"/>
              <w:bottom w:val="single" w:sz="4" w:space="0" w:color="auto"/>
              <w:right w:val="single" w:sz="4" w:space="0" w:color="auto"/>
            </w:tcBorders>
            <w:hideMark/>
          </w:tcPr>
          <w:p w14:paraId="23631DEA"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Daily settlement statement and Weekly invoice that correspond with appropriate Settlement statements. Settlements produced during parallel operations are verifiably accurate against available data. </w:t>
            </w:r>
          </w:p>
        </w:tc>
        <w:tc>
          <w:tcPr>
            <w:tcW w:w="1328" w:type="pct"/>
            <w:tcBorders>
              <w:top w:val="nil"/>
              <w:left w:val="nil"/>
              <w:bottom w:val="single" w:sz="4" w:space="0" w:color="auto"/>
              <w:right w:val="single" w:sz="4" w:space="0" w:color="auto"/>
            </w:tcBorders>
            <w:hideMark/>
          </w:tcPr>
          <w:p w14:paraId="2C7F62D7"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ISO calculates the EDAM Access charge based upon EDAM recoverable amount provided by entity.  Confirmation provided via email.</w:t>
            </w:r>
          </w:p>
        </w:tc>
      </w:tr>
      <w:tr w:rsidR="00BF44CA" w:rsidRPr="00746F54" w14:paraId="2573F03A" w14:textId="77777777" w:rsidTr="00BF44CA">
        <w:trPr>
          <w:trHeight w:val="1530"/>
        </w:trPr>
        <w:tc>
          <w:tcPr>
            <w:tcW w:w="299" w:type="pct"/>
            <w:tcBorders>
              <w:top w:val="nil"/>
              <w:left w:val="single" w:sz="4" w:space="0" w:color="auto"/>
              <w:bottom w:val="single" w:sz="4" w:space="0" w:color="auto"/>
              <w:right w:val="single" w:sz="4" w:space="0" w:color="auto"/>
            </w:tcBorders>
            <w:shd w:val="clear" w:color="000000" w:fill="D9D9D9"/>
            <w:noWrap/>
            <w:hideMark/>
          </w:tcPr>
          <w:p w14:paraId="41E4D213"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15</w:t>
            </w:r>
          </w:p>
        </w:tc>
        <w:tc>
          <w:tcPr>
            <w:tcW w:w="555" w:type="pct"/>
            <w:tcBorders>
              <w:top w:val="nil"/>
              <w:left w:val="nil"/>
              <w:bottom w:val="single" w:sz="4" w:space="0" w:color="auto"/>
              <w:right w:val="single" w:sz="4" w:space="0" w:color="auto"/>
            </w:tcBorders>
            <w:shd w:val="clear" w:color="000000" w:fill="D9D9D9"/>
            <w:hideMark/>
          </w:tcPr>
          <w:p w14:paraId="025BE8D1"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Parallel Operations</w:t>
            </w:r>
          </w:p>
        </w:tc>
        <w:tc>
          <w:tcPr>
            <w:tcW w:w="742" w:type="pct"/>
            <w:tcBorders>
              <w:top w:val="nil"/>
              <w:left w:val="nil"/>
              <w:bottom w:val="single" w:sz="4" w:space="0" w:color="auto"/>
              <w:right w:val="single" w:sz="4" w:space="0" w:color="auto"/>
            </w:tcBorders>
            <w:hideMark/>
          </w:tcPr>
          <w:p w14:paraId="1AFF3919"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Parallel Operations Technology Criteria</w:t>
            </w:r>
          </w:p>
        </w:tc>
        <w:tc>
          <w:tcPr>
            <w:tcW w:w="1016" w:type="pct"/>
            <w:tcBorders>
              <w:top w:val="nil"/>
              <w:left w:val="nil"/>
              <w:bottom w:val="single" w:sz="4" w:space="0" w:color="auto"/>
              <w:right w:val="single" w:sz="4" w:space="0" w:color="auto"/>
            </w:tcBorders>
            <w:hideMark/>
          </w:tcPr>
          <w:p w14:paraId="4C3E3D24"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Ensures all transfers between neighboring BAs, EDAM and WEIM entities are configured accurately for market operations and settled correctly.</w:t>
            </w:r>
          </w:p>
        </w:tc>
        <w:tc>
          <w:tcPr>
            <w:tcW w:w="1060" w:type="pct"/>
            <w:tcBorders>
              <w:top w:val="nil"/>
              <w:left w:val="nil"/>
              <w:bottom w:val="single" w:sz="4" w:space="0" w:color="auto"/>
              <w:right w:val="single" w:sz="4" w:space="0" w:color="auto"/>
            </w:tcBorders>
            <w:hideMark/>
          </w:tcPr>
          <w:p w14:paraId="0ABC5C62"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DA market Completion within timeline 90% of the time</w:t>
            </w:r>
            <w:r w:rsidRPr="00746F54">
              <w:rPr>
                <w:rFonts w:ascii="Arial" w:eastAsia="Times New Roman" w:hAnsi="Arial" w:cs="Arial"/>
                <w:sz w:val="20"/>
                <w:szCs w:val="20"/>
              </w:rPr>
              <w:br/>
            </w:r>
            <w:r w:rsidRPr="00746F54">
              <w:rPr>
                <w:rFonts w:ascii="Arial" w:eastAsia="Times New Roman" w:hAnsi="Arial" w:cs="Arial"/>
                <w:sz w:val="20"/>
                <w:szCs w:val="20"/>
              </w:rPr>
              <w:br/>
              <w:t>All significant issues resolved or have an interim solution that is functionally equivalent.</w:t>
            </w:r>
          </w:p>
        </w:tc>
        <w:tc>
          <w:tcPr>
            <w:tcW w:w="1328" w:type="pct"/>
            <w:tcBorders>
              <w:top w:val="nil"/>
              <w:left w:val="nil"/>
              <w:bottom w:val="single" w:sz="4" w:space="0" w:color="auto"/>
              <w:right w:val="single" w:sz="4" w:space="0" w:color="auto"/>
            </w:tcBorders>
            <w:hideMark/>
          </w:tcPr>
          <w:p w14:paraId="7730C7F5"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No SEV 3 defects remain; tracking the DA market completion time. ISO provides confirmation via email.</w:t>
            </w:r>
          </w:p>
        </w:tc>
      </w:tr>
      <w:tr w:rsidR="00BF44CA" w:rsidRPr="00746F54" w14:paraId="7A470819" w14:textId="77777777" w:rsidTr="00BF44CA">
        <w:trPr>
          <w:trHeight w:val="1275"/>
        </w:trPr>
        <w:tc>
          <w:tcPr>
            <w:tcW w:w="299" w:type="pct"/>
            <w:tcBorders>
              <w:top w:val="nil"/>
              <w:left w:val="single" w:sz="4" w:space="0" w:color="auto"/>
              <w:bottom w:val="single" w:sz="4" w:space="0" w:color="auto"/>
              <w:right w:val="single" w:sz="4" w:space="0" w:color="auto"/>
            </w:tcBorders>
            <w:shd w:val="clear" w:color="000000" w:fill="D9D9D9"/>
            <w:noWrap/>
            <w:hideMark/>
          </w:tcPr>
          <w:p w14:paraId="6BD39C09"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16</w:t>
            </w:r>
          </w:p>
        </w:tc>
        <w:tc>
          <w:tcPr>
            <w:tcW w:w="555" w:type="pct"/>
            <w:tcBorders>
              <w:top w:val="nil"/>
              <w:left w:val="nil"/>
              <w:bottom w:val="single" w:sz="4" w:space="0" w:color="auto"/>
              <w:right w:val="single" w:sz="4" w:space="0" w:color="auto"/>
            </w:tcBorders>
            <w:shd w:val="clear" w:color="000000" w:fill="D9D9D9"/>
            <w:hideMark/>
          </w:tcPr>
          <w:p w14:paraId="3016039A" w14:textId="77777777" w:rsidR="00BF44CA" w:rsidRPr="00746F54" w:rsidRDefault="00BF44CA" w:rsidP="00BF44CA">
            <w:pPr>
              <w:spacing w:after="0" w:line="240" w:lineRule="auto"/>
              <w:rPr>
                <w:rFonts w:ascii="Arial" w:eastAsia="Times New Roman" w:hAnsi="Arial" w:cs="Arial"/>
                <w:b/>
                <w:bCs/>
                <w:sz w:val="20"/>
                <w:szCs w:val="20"/>
              </w:rPr>
            </w:pPr>
            <w:r w:rsidRPr="00746F54">
              <w:rPr>
                <w:rFonts w:ascii="Arial" w:eastAsia="Times New Roman" w:hAnsi="Arial" w:cs="Arial"/>
                <w:b/>
                <w:bCs/>
                <w:sz w:val="20"/>
                <w:szCs w:val="20"/>
              </w:rPr>
              <w:t>Parallel Operations</w:t>
            </w:r>
          </w:p>
        </w:tc>
        <w:tc>
          <w:tcPr>
            <w:tcW w:w="742" w:type="pct"/>
            <w:tcBorders>
              <w:top w:val="nil"/>
              <w:left w:val="nil"/>
              <w:bottom w:val="single" w:sz="4" w:space="0" w:color="auto"/>
              <w:right w:val="single" w:sz="4" w:space="0" w:color="auto"/>
            </w:tcBorders>
            <w:hideMark/>
          </w:tcPr>
          <w:p w14:paraId="5794E803"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Parallel Operations market quality review</w:t>
            </w:r>
          </w:p>
        </w:tc>
        <w:tc>
          <w:tcPr>
            <w:tcW w:w="1016" w:type="pct"/>
            <w:tcBorders>
              <w:top w:val="nil"/>
              <w:left w:val="nil"/>
              <w:bottom w:val="single" w:sz="4" w:space="0" w:color="auto"/>
              <w:right w:val="single" w:sz="4" w:space="0" w:color="auto"/>
            </w:tcBorders>
            <w:hideMark/>
          </w:tcPr>
          <w:p w14:paraId="0695965B"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 xml:space="preserve">Market results are appropriate and prices are validated based on input data during Parallel Operations. </w:t>
            </w:r>
          </w:p>
        </w:tc>
        <w:tc>
          <w:tcPr>
            <w:tcW w:w="1060" w:type="pct"/>
            <w:tcBorders>
              <w:top w:val="nil"/>
              <w:left w:val="nil"/>
              <w:bottom w:val="single" w:sz="4" w:space="0" w:color="auto"/>
              <w:right w:val="single" w:sz="4" w:space="0" w:color="auto"/>
            </w:tcBorders>
            <w:hideMark/>
          </w:tcPr>
          <w:p w14:paraId="33B5DDAD"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The ISO Market Quality team validates Parallel Operations prices and megawatt schedules/dispatches.</w:t>
            </w:r>
          </w:p>
        </w:tc>
        <w:tc>
          <w:tcPr>
            <w:tcW w:w="1328" w:type="pct"/>
            <w:tcBorders>
              <w:top w:val="nil"/>
              <w:left w:val="nil"/>
              <w:bottom w:val="single" w:sz="4" w:space="0" w:color="auto"/>
              <w:right w:val="single" w:sz="4" w:space="0" w:color="auto"/>
            </w:tcBorders>
            <w:hideMark/>
          </w:tcPr>
          <w:p w14:paraId="63060DA9" w14:textId="77777777" w:rsidR="00BF44CA" w:rsidRPr="00746F54" w:rsidRDefault="00BF44CA" w:rsidP="00BF44CA">
            <w:pPr>
              <w:spacing w:after="0" w:line="240" w:lineRule="auto"/>
              <w:rPr>
                <w:rFonts w:ascii="Arial" w:eastAsia="Times New Roman" w:hAnsi="Arial" w:cs="Arial"/>
                <w:sz w:val="20"/>
                <w:szCs w:val="20"/>
              </w:rPr>
            </w:pPr>
            <w:r w:rsidRPr="00746F54">
              <w:rPr>
                <w:rFonts w:ascii="Arial" w:eastAsia="Times New Roman" w:hAnsi="Arial" w:cs="Arial"/>
                <w:sz w:val="20"/>
                <w:szCs w:val="20"/>
              </w:rPr>
              <w:t>ISO Market Quality team provides analysis report on the Market Solution, prices, and quality of data.</w:t>
            </w:r>
          </w:p>
        </w:tc>
      </w:tr>
    </w:tbl>
    <w:p w14:paraId="4C61B3B5" w14:textId="77777777" w:rsidR="00862BFD" w:rsidRPr="00746F54" w:rsidRDefault="00862BFD" w:rsidP="00862BFD">
      <w:pPr>
        <w:spacing w:after="0" w:line="240" w:lineRule="auto"/>
        <w:rPr>
          <w:rFonts w:ascii="Arial" w:eastAsia="Times New Roman" w:hAnsi="Arial" w:cs="Arial"/>
          <w:sz w:val="24"/>
          <w:szCs w:val="24"/>
        </w:rPr>
      </w:pPr>
    </w:p>
    <w:p w14:paraId="30DA27BD" w14:textId="77777777" w:rsidR="00862BFD" w:rsidRPr="00746F54" w:rsidRDefault="00862BFD" w:rsidP="00535C72">
      <w:pPr>
        <w:pStyle w:val="ParaText"/>
        <w:rPr>
          <w:rFonts w:ascii="Arial" w:hAnsi="Arial" w:cs="Arial"/>
        </w:rPr>
      </w:pPr>
    </w:p>
    <w:p w14:paraId="7562A8C8" w14:textId="4CE10658" w:rsidR="00535C72" w:rsidRPr="00746F54" w:rsidRDefault="00535C72" w:rsidP="00B948B7">
      <w:pPr>
        <w:pStyle w:val="ParaText"/>
        <w:ind w:left="720"/>
        <w:rPr>
          <w:rFonts w:ascii="Arial" w:hAnsi="Arial" w:cs="Arial"/>
        </w:rPr>
      </w:pPr>
      <w:r w:rsidRPr="00746F54">
        <w:rPr>
          <w:rFonts w:ascii="Arial" w:hAnsi="Arial" w:cs="Arial"/>
          <w:b/>
        </w:rPr>
        <w:lastRenderedPageBreak/>
        <w:t>EDAM Entity Full Network Model Integration</w:t>
      </w:r>
      <w:r w:rsidRPr="00746F54">
        <w:rPr>
          <w:rFonts w:ascii="Arial" w:hAnsi="Arial" w:cs="Arial"/>
        </w:rPr>
        <w:t xml:space="preserve"> – </w:t>
      </w:r>
      <w:r w:rsidR="009967FA" w:rsidRPr="00746F54">
        <w:rPr>
          <w:rFonts w:ascii="Arial" w:hAnsi="Arial" w:cs="Arial"/>
        </w:rPr>
        <w:t>to</w:t>
      </w:r>
      <w:r w:rsidRPr="00746F54">
        <w:rPr>
          <w:rFonts w:ascii="Arial" w:hAnsi="Arial" w:cs="Arial"/>
        </w:rPr>
        <w:t xml:space="preserve"> participate in EDAM, the entity must be an EIM Entity </w:t>
      </w:r>
      <w:r w:rsidR="004513BF" w:rsidRPr="00746F54">
        <w:rPr>
          <w:rFonts w:ascii="Arial" w:hAnsi="Arial" w:cs="Arial"/>
        </w:rPr>
        <w:t>with the</w:t>
      </w:r>
      <w:r w:rsidR="00A960C4" w:rsidRPr="00746F54">
        <w:rPr>
          <w:rFonts w:ascii="Arial" w:hAnsi="Arial" w:cs="Arial"/>
        </w:rPr>
        <w:t xml:space="preserve"> </w:t>
      </w:r>
      <w:r w:rsidRPr="00746F54">
        <w:rPr>
          <w:rFonts w:ascii="Arial" w:hAnsi="Arial" w:cs="Arial"/>
        </w:rPr>
        <w:t>full network model integrated into CAISO full network model from EIM.</w:t>
      </w:r>
    </w:p>
    <w:p w14:paraId="08DC113F" w14:textId="4B0F9AFB" w:rsidR="00535C72" w:rsidRPr="00746F54" w:rsidRDefault="00535C72" w:rsidP="00B948B7">
      <w:pPr>
        <w:pStyle w:val="ParaText"/>
        <w:ind w:left="720"/>
        <w:rPr>
          <w:rFonts w:ascii="Arial" w:hAnsi="Arial" w:cs="Arial"/>
        </w:rPr>
      </w:pPr>
      <w:r w:rsidRPr="00746F54">
        <w:rPr>
          <w:rFonts w:ascii="Arial" w:hAnsi="Arial" w:cs="Arial"/>
          <w:b/>
        </w:rPr>
        <w:t xml:space="preserve">Agreements </w:t>
      </w:r>
      <w:r w:rsidRPr="00746F54">
        <w:rPr>
          <w:rFonts w:ascii="Arial" w:hAnsi="Arial" w:cs="Arial"/>
        </w:rPr>
        <w:t>– prior to the established implementation date, the prospective EDAM Entity must execute all necessary agreements</w:t>
      </w:r>
      <w:r w:rsidR="00652D33">
        <w:rPr>
          <w:rFonts w:ascii="Arial" w:hAnsi="Arial" w:cs="Arial"/>
        </w:rPr>
        <w:t>.</w:t>
      </w:r>
      <w:r w:rsidRPr="00746F54">
        <w:rPr>
          <w:rFonts w:ascii="Arial" w:hAnsi="Arial" w:cs="Arial"/>
        </w:rPr>
        <w:t xml:space="preserve"> </w:t>
      </w:r>
    </w:p>
    <w:p w14:paraId="21CB009D" w14:textId="03D47B1E" w:rsidR="00535C72" w:rsidRPr="00746F54" w:rsidRDefault="00535C72" w:rsidP="00B948B7">
      <w:pPr>
        <w:pStyle w:val="ParaText"/>
        <w:ind w:left="720"/>
        <w:rPr>
          <w:rFonts w:ascii="Arial" w:hAnsi="Arial" w:cs="Arial"/>
        </w:rPr>
      </w:pPr>
      <w:r w:rsidRPr="00746F54">
        <w:rPr>
          <w:rFonts w:ascii="Arial" w:hAnsi="Arial" w:cs="Arial"/>
          <w:b/>
        </w:rPr>
        <w:t>Training</w:t>
      </w:r>
      <w:r w:rsidRPr="00746F54">
        <w:rPr>
          <w:rFonts w:ascii="Arial" w:hAnsi="Arial" w:cs="Arial"/>
        </w:rPr>
        <w:t xml:space="preserve"> –CAISO provides training for prospective EDAM </w:t>
      </w:r>
      <w:r w:rsidR="004513BF" w:rsidRPr="00746F54">
        <w:rPr>
          <w:rFonts w:ascii="Arial" w:hAnsi="Arial" w:cs="Arial"/>
        </w:rPr>
        <w:t>e</w:t>
      </w:r>
      <w:r w:rsidRPr="00746F54">
        <w:rPr>
          <w:rFonts w:ascii="Arial" w:hAnsi="Arial" w:cs="Arial"/>
        </w:rPr>
        <w:t>ntity operators before and during market simulation. All training is to be completed prior to the start of parallel operations.</w:t>
      </w:r>
      <w:r w:rsidR="007C02B9" w:rsidRPr="00746F54">
        <w:rPr>
          <w:rFonts w:ascii="Arial" w:hAnsi="Arial" w:cs="Arial"/>
        </w:rPr>
        <w:t xml:space="preserve"> </w:t>
      </w:r>
    </w:p>
    <w:p w14:paraId="17F73581" w14:textId="1D36444A" w:rsidR="00535C72" w:rsidRPr="00746F54" w:rsidRDefault="00535C72" w:rsidP="00B948B7">
      <w:pPr>
        <w:pStyle w:val="ParaText"/>
        <w:ind w:left="720"/>
        <w:rPr>
          <w:rFonts w:ascii="Arial" w:hAnsi="Arial" w:cs="Arial"/>
        </w:rPr>
      </w:pPr>
      <w:r w:rsidRPr="00746F54">
        <w:rPr>
          <w:rFonts w:ascii="Arial" w:hAnsi="Arial" w:cs="Arial"/>
          <w:b/>
        </w:rPr>
        <w:t>Forecasts</w:t>
      </w:r>
      <w:r w:rsidRPr="00746F54">
        <w:rPr>
          <w:rFonts w:ascii="Arial" w:hAnsi="Arial" w:cs="Arial"/>
        </w:rPr>
        <w:t xml:space="preserve"> – forecasting capabilities are established and measured during the market simulation</w:t>
      </w:r>
      <w:r w:rsidR="00652D33">
        <w:rPr>
          <w:rFonts w:ascii="Arial" w:hAnsi="Arial" w:cs="Arial"/>
        </w:rPr>
        <w:t xml:space="preserve"> process</w:t>
      </w:r>
      <w:r w:rsidRPr="00746F54">
        <w:rPr>
          <w:rFonts w:ascii="Arial" w:hAnsi="Arial" w:cs="Arial"/>
        </w:rPr>
        <w:t>.</w:t>
      </w:r>
    </w:p>
    <w:p w14:paraId="4094EAC8" w14:textId="0983EBA5" w:rsidR="00535C72" w:rsidRPr="00746F54" w:rsidRDefault="00535C72" w:rsidP="00B948B7">
      <w:pPr>
        <w:pStyle w:val="ParaText"/>
        <w:ind w:left="720"/>
        <w:rPr>
          <w:rFonts w:ascii="Arial" w:hAnsi="Arial" w:cs="Arial"/>
        </w:rPr>
      </w:pPr>
      <w:r w:rsidRPr="00746F54">
        <w:rPr>
          <w:rFonts w:ascii="Arial" w:hAnsi="Arial" w:cs="Arial"/>
          <w:b/>
        </w:rPr>
        <w:t>Operating Procedures</w:t>
      </w:r>
      <w:r w:rsidRPr="00746F54">
        <w:rPr>
          <w:rFonts w:ascii="Arial" w:hAnsi="Arial" w:cs="Arial"/>
        </w:rPr>
        <w:t xml:space="preserve"> - the prospective EDAM </w:t>
      </w:r>
      <w:r w:rsidR="003D7AEA" w:rsidRPr="00746F54">
        <w:rPr>
          <w:rFonts w:ascii="Arial" w:hAnsi="Arial" w:cs="Arial"/>
        </w:rPr>
        <w:t>e</w:t>
      </w:r>
      <w:r w:rsidRPr="00746F54">
        <w:rPr>
          <w:rFonts w:ascii="Arial" w:hAnsi="Arial" w:cs="Arial"/>
        </w:rPr>
        <w:t>ntity and CAISO will review and test applicable operating procedures prior to the start of parallel operations.</w:t>
      </w:r>
    </w:p>
    <w:p w14:paraId="548B4123" w14:textId="36130C45" w:rsidR="00535C72" w:rsidRPr="00746F54" w:rsidRDefault="00535C72" w:rsidP="00B948B7">
      <w:pPr>
        <w:pStyle w:val="ParaText"/>
        <w:ind w:left="720"/>
        <w:rPr>
          <w:rFonts w:ascii="Arial" w:hAnsi="Arial" w:cs="Arial"/>
        </w:rPr>
      </w:pPr>
      <w:r w:rsidRPr="00746F54">
        <w:rPr>
          <w:rFonts w:ascii="Arial" w:hAnsi="Arial" w:cs="Arial"/>
          <w:b/>
        </w:rPr>
        <w:t xml:space="preserve">System Readiness </w:t>
      </w:r>
      <w:r w:rsidR="003D7AEA" w:rsidRPr="00746F54">
        <w:rPr>
          <w:rFonts w:ascii="Arial" w:hAnsi="Arial" w:cs="Arial"/>
          <w:b/>
        </w:rPr>
        <w:t xml:space="preserve">and </w:t>
      </w:r>
      <w:r w:rsidRPr="00746F54">
        <w:rPr>
          <w:rFonts w:ascii="Arial" w:hAnsi="Arial" w:cs="Arial"/>
          <w:b/>
        </w:rPr>
        <w:t>Integration</w:t>
      </w:r>
      <w:r w:rsidRPr="00746F54">
        <w:rPr>
          <w:rFonts w:ascii="Arial" w:hAnsi="Arial" w:cs="Arial"/>
        </w:rPr>
        <w:t xml:space="preserve"> - the prospective EDAM </w:t>
      </w:r>
      <w:r w:rsidR="003D7AEA" w:rsidRPr="00746F54">
        <w:rPr>
          <w:rFonts w:ascii="Arial" w:hAnsi="Arial" w:cs="Arial"/>
        </w:rPr>
        <w:t>e</w:t>
      </w:r>
      <w:r w:rsidRPr="00746F54">
        <w:rPr>
          <w:rFonts w:ascii="Arial" w:hAnsi="Arial" w:cs="Arial"/>
        </w:rPr>
        <w:t xml:space="preserve">ntity and CAISO will perform functional and system testing and system integration testing. </w:t>
      </w:r>
    </w:p>
    <w:p w14:paraId="3D4E54A7" w14:textId="30B96820" w:rsidR="00535C72" w:rsidRPr="00746F54" w:rsidRDefault="00535C72" w:rsidP="00B948B7">
      <w:pPr>
        <w:pStyle w:val="ParaText"/>
        <w:ind w:left="720"/>
        <w:rPr>
          <w:rFonts w:ascii="Arial" w:hAnsi="Arial" w:cs="Arial"/>
        </w:rPr>
      </w:pPr>
      <w:r w:rsidRPr="00746F54">
        <w:rPr>
          <w:rFonts w:ascii="Arial" w:hAnsi="Arial" w:cs="Arial"/>
          <w:b/>
        </w:rPr>
        <w:t>Market Simulation</w:t>
      </w:r>
      <w:r w:rsidRPr="00746F54">
        <w:rPr>
          <w:rFonts w:ascii="Arial" w:hAnsi="Arial" w:cs="Arial"/>
        </w:rPr>
        <w:t xml:space="preserve"> - the CAISO will conduct a market simulation for the prospective EDAM </w:t>
      </w:r>
      <w:r w:rsidR="003D7AEA" w:rsidRPr="00746F54">
        <w:rPr>
          <w:rFonts w:ascii="Arial" w:hAnsi="Arial" w:cs="Arial"/>
        </w:rPr>
        <w:t>e</w:t>
      </w:r>
      <w:r w:rsidRPr="00746F54">
        <w:rPr>
          <w:rFonts w:ascii="Arial" w:hAnsi="Arial" w:cs="Arial"/>
        </w:rPr>
        <w:t>ntity and any</w:t>
      </w:r>
      <w:r w:rsidRPr="00746F54" w:rsidDel="002C19A7">
        <w:rPr>
          <w:rFonts w:ascii="Arial" w:hAnsi="Arial" w:cs="Arial"/>
        </w:rPr>
        <w:t xml:space="preserve"> </w:t>
      </w:r>
      <w:r w:rsidRPr="00746F54">
        <w:rPr>
          <w:rFonts w:ascii="Arial" w:hAnsi="Arial" w:cs="Arial"/>
        </w:rPr>
        <w:t xml:space="preserve">resource scheduling coordinators registered with the prospective EDAM </w:t>
      </w:r>
      <w:r w:rsidR="003D7AEA" w:rsidRPr="00746F54">
        <w:rPr>
          <w:rFonts w:ascii="Arial" w:hAnsi="Arial" w:cs="Arial"/>
        </w:rPr>
        <w:t>e</w:t>
      </w:r>
      <w:r w:rsidRPr="00746F54">
        <w:rPr>
          <w:rFonts w:ascii="Arial" w:hAnsi="Arial" w:cs="Arial"/>
        </w:rPr>
        <w:t xml:space="preserve">ntity prior to that new prospective </w:t>
      </w:r>
      <w:r w:rsidR="003D7AEA" w:rsidRPr="00746F54">
        <w:rPr>
          <w:rFonts w:ascii="Arial" w:hAnsi="Arial" w:cs="Arial"/>
        </w:rPr>
        <w:t>e</w:t>
      </w:r>
      <w:r w:rsidRPr="00746F54">
        <w:rPr>
          <w:rFonts w:ascii="Arial" w:hAnsi="Arial" w:cs="Arial"/>
        </w:rPr>
        <w:t>ntity entering EDAM</w:t>
      </w:r>
      <w:r w:rsidR="00D14B8C" w:rsidRPr="00746F54">
        <w:rPr>
          <w:rFonts w:ascii="Arial" w:hAnsi="Arial" w:cs="Arial"/>
        </w:rPr>
        <w:t>.</w:t>
      </w:r>
    </w:p>
    <w:p w14:paraId="1D844AAB" w14:textId="2214673D" w:rsidR="00535C72" w:rsidRPr="00746F54" w:rsidRDefault="00535C72" w:rsidP="00B948B7">
      <w:pPr>
        <w:pStyle w:val="ParaText"/>
        <w:ind w:left="720"/>
        <w:rPr>
          <w:rFonts w:ascii="Arial" w:hAnsi="Arial" w:cs="Arial"/>
        </w:rPr>
      </w:pPr>
      <w:r w:rsidRPr="00746F54">
        <w:rPr>
          <w:rFonts w:ascii="Arial" w:hAnsi="Arial" w:cs="Arial"/>
          <w:b/>
        </w:rPr>
        <w:t>Settlements</w:t>
      </w:r>
      <w:r w:rsidRPr="00746F54">
        <w:rPr>
          <w:rFonts w:ascii="Arial" w:hAnsi="Arial" w:cs="Arial"/>
        </w:rPr>
        <w:t xml:space="preserve"> – the CAISO submits a settlement statement to the prospective EDAM </w:t>
      </w:r>
      <w:r w:rsidR="003D7AEA" w:rsidRPr="00746F54">
        <w:rPr>
          <w:rFonts w:ascii="Arial" w:hAnsi="Arial" w:cs="Arial"/>
        </w:rPr>
        <w:t>e</w:t>
      </w:r>
      <w:r w:rsidRPr="00746F54">
        <w:rPr>
          <w:rFonts w:ascii="Arial" w:hAnsi="Arial" w:cs="Arial"/>
        </w:rPr>
        <w:t>ntity including</w:t>
      </w:r>
      <w:r w:rsidRPr="00746F54" w:rsidDel="00B11FF2">
        <w:rPr>
          <w:rFonts w:ascii="Arial" w:hAnsi="Arial" w:cs="Arial"/>
        </w:rPr>
        <w:t xml:space="preserve"> </w:t>
      </w:r>
      <w:r w:rsidRPr="00746F54">
        <w:rPr>
          <w:rFonts w:ascii="Arial" w:hAnsi="Arial" w:cs="Arial"/>
        </w:rPr>
        <w:t>resources and load. Prior to financially binding operations, the prospective EDAM Entity will demonstrate it can produce allocations of the CAISO settlement to its customers that are verifiably accurate against available data.</w:t>
      </w:r>
    </w:p>
    <w:p w14:paraId="2CFE24A3" w14:textId="77777777" w:rsidR="00535C72" w:rsidRPr="00746F54" w:rsidRDefault="00535C72" w:rsidP="00636D40">
      <w:pPr>
        <w:pStyle w:val="ParaText"/>
        <w:ind w:left="720"/>
        <w:rPr>
          <w:rFonts w:ascii="Arial" w:hAnsi="Arial" w:cs="Arial"/>
        </w:rPr>
      </w:pPr>
      <w:r w:rsidRPr="00746F54">
        <w:rPr>
          <w:rFonts w:ascii="Arial" w:hAnsi="Arial" w:cs="Arial"/>
          <w:b/>
        </w:rPr>
        <w:t>Monitoring</w:t>
      </w:r>
      <w:r w:rsidRPr="00746F54">
        <w:rPr>
          <w:rFonts w:ascii="Arial" w:hAnsi="Arial" w:cs="Arial"/>
        </w:rPr>
        <w:t xml:space="preserve"> – the CAISO ensures that the CAISO Market Analysis Team and the Department of Market Monitoring have the data that is required to adequately monitor market performance.</w:t>
      </w:r>
    </w:p>
    <w:p w14:paraId="1FEEB4A9" w14:textId="500A3A94" w:rsidR="00535C72" w:rsidRPr="00746F54" w:rsidRDefault="00535C72" w:rsidP="00636D40">
      <w:pPr>
        <w:pStyle w:val="ParaText"/>
        <w:ind w:left="720"/>
        <w:rPr>
          <w:rFonts w:ascii="Arial" w:hAnsi="Arial" w:cs="Arial"/>
        </w:rPr>
      </w:pPr>
      <w:r w:rsidRPr="00746F54">
        <w:rPr>
          <w:rFonts w:ascii="Arial" w:hAnsi="Arial" w:cs="Arial"/>
          <w:b/>
        </w:rPr>
        <w:t>Parallel Operations Planning</w:t>
      </w:r>
      <w:r w:rsidRPr="00746F54">
        <w:rPr>
          <w:rFonts w:ascii="Arial" w:hAnsi="Arial" w:cs="Arial"/>
        </w:rPr>
        <w:t xml:space="preserve"> – the CAISO and prospective EDAM </w:t>
      </w:r>
      <w:r w:rsidR="003D7AEA" w:rsidRPr="00746F54">
        <w:rPr>
          <w:rFonts w:ascii="Arial" w:hAnsi="Arial" w:cs="Arial"/>
        </w:rPr>
        <w:t>e</w:t>
      </w:r>
      <w:r w:rsidRPr="00746F54">
        <w:rPr>
          <w:rFonts w:ascii="Arial" w:hAnsi="Arial" w:cs="Arial"/>
        </w:rPr>
        <w:t>ntity ensure that systems, processes and staff are prepared for deployment of systems, parallel operations, and support beyond parallel operations for issues that may arise.</w:t>
      </w:r>
    </w:p>
    <w:p w14:paraId="5CFEB344" w14:textId="337623F2" w:rsidR="002A6A88" w:rsidRPr="00746F54" w:rsidRDefault="00535C72" w:rsidP="00636D40">
      <w:pPr>
        <w:ind w:left="720"/>
        <w:rPr>
          <w:rFonts w:ascii="Arial" w:hAnsi="Arial" w:cs="Arial"/>
        </w:rPr>
      </w:pPr>
      <w:r w:rsidRPr="00746F54">
        <w:rPr>
          <w:rFonts w:ascii="Arial" w:hAnsi="Arial" w:cs="Arial"/>
          <w:b/>
        </w:rPr>
        <w:t>Communication</w:t>
      </w:r>
      <w:r w:rsidRPr="00746F54">
        <w:rPr>
          <w:rFonts w:ascii="Arial" w:hAnsi="Arial" w:cs="Arial"/>
        </w:rPr>
        <w:t xml:space="preserve"> - the CAISO and prospective EDAM </w:t>
      </w:r>
      <w:r w:rsidR="003D7AEA" w:rsidRPr="00746F54">
        <w:rPr>
          <w:rFonts w:ascii="Arial" w:hAnsi="Arial" w:cs="Arial"/>
        </w:rPr>
        <w:t>e</w:t>
      </w:r>
      <w:r w:rsidRPr="00746F54">
        <w:rPr>
          <w:rFonts w:ascii="Arial" w:hAnsi="Arial" w:cs="Arial"/>
        </w:rPr>
        <w:t xml:space="preserve">ntity ensure all tools and procedures used for communication between the CAISO and prospective EDAM </w:t>
      </w:r>
      <w:r w:rsidR="003D7AEA" w:rsidRPr="00746F54">
        <w:rPr>
          <w:rFonts w:ascii="Arial" w:hAnsi="Arial" w:cs="Arial"/>
        </w:rPr>
        <w:t>e</w:t>
      </w:r>
      <w:r w:rsidRPr="00746F54">
        <w:rPr>
          <w:rFonts w:ascii="Arial" w:hAnsi="Arial" w:cs="Arial"/>
        </w:rPr>
        <w:t>ntity are in place and tested before the implementation date</w:t>
      </w:r>
      <w:r w:rsidR="00732099" w:rsidRPr="00746F54">
        <w:rPr>
          <w:rFonts w:ascii="Arial" w:hAnsi="Arial" w:cs="Arial"/>
        </w:rPr>
        <w:t>.</w:t>
      </w:r>
    </w:p>
    <w:p w14:paraId="751614E0" w14:textId="77777777" w:rsidR="00947B7F" w:rsidRPr="00746F54" w:rsidRDefault="002A6A88" w:rsidP="00947B7F">
      <w:pPr>
        <w:pStyle w:val="Paragraph"/>
        <w:rPr>
          <w:rFonts w:ascii="Arial" w:hAnsi="Arial" w:cs="Arial"/>
          <w:sz w:val="22"/>
        </w:rPr>
      </w:pPr>
      <w:r w:rsidRPr="00746F54">
        <w:rPr>
          <w:rFonts w:ascii="Arial" w:hAnsi="Arial" w:cs="Arial"/>
          <w:sz w:val="22"/>
        </w:rPr>
        <w:lastRenderedPageBreak/>
        <w:t xml:space="preserve">If the CAISO or the prospective EDAM entity determines that either cannot proceed with implementation on the implementation date identified in the EDAM Entity Implementation Agreement, the CAISO and the prospective EDAM entity will establish a new EDAM Entity Implementation Date and will reflect that date in the amended version of the EDAM Entity Implementation Agreement.  </w:t>
      </w:r>
      <w:bookmarkStart w:id="33" w:name="_Toc211337868"/>
    </w:p>
    <w:p w14:paraId="04B4A080" w14:textId="77777777" w:rsidR="00947B7F" w:rsidRPr="00746F54" w:rsidRDefault="00947B7F" w:rsidP="00776EBF">
      <w:pPr>
        <w:pStyle w:val="Paragraph"/>
        <w:rPr>
          <w:rFonts w:ascii="Arial" w:hAnsi="Arial" w:cs="Arial"/>
          <w:sz w:val="22"/>
        </w:rPr>
      </w:pPr>
    </w:p>
    <w:p w14:paraId="1F98B006" w14:textId="22F6E759" w:rsidR="006016C0" w:rsidRPr="00746F54" w:rsidRDefault="00724DE9" w:rsidP="00947B7F">
      <w:pPr>
        <w:pStyle w:val="Heading3"/>
        <w:rPr>
          <w:rFonts w:ascii="Arial" w:hAnsi="Arial" w:cs="Arial"/>
        </w:rPr>
      </w:pPr>
      <w:r w:rsidRPr="00746F54">
        <w:rPr>
          <w:rFonts w:ascii="Arial" w:hAnsi="Arial" w:cs="Arial"/>
        </w:rPr>
        <w:t>Suspension of EDAM Entity Participation</w:t>
      </w:r>
      <w:bookmarkEnd w:id="33"/>
    </w:p>
    <w:p w14:paraId="2AE78957" w14:textId="1C4107A5" w:rsidR="00724DE9" w:rsidRPr="00746F54" w:rsidRDefault="00724DE9" w:rsidP="006016C0">
      <w:pPr>
        <w:pStyle w:val="ParaText"/>
        <w:rPr>
          <w:rFonts w:ascii="Arial" w:hAnsi="Arial" w:cs="Arial"/>
          <w:u w:val="single"/>
        </w:rPr>
      </w:pPr>
      <w:r w:rsidRPr="00746F54">
        <w:rPr>
          <w:rFonts w:ascii="Arial" w:hAnsi="Arial" w:cs="Arial"/>
          <w:u w:val="single"/>
        </w:rPr>
        <w:t>Reference tariff section 33.1</w:t>
      </w:r>
    </w:p>
    <w:p w14:paraId="481652DD" w14:textId="5FB12BBB" w:rsidR="006016C0" w:rsidRPr="00746F54" w:rsidRDefault="007C658B" w:rsidP="006016C0">
      <w:pPr>
        <w:pStyle w:val="ParaText"/>
        <w:rPr>
          <w:rFonts w:ascii="Arial" w:hAnsi="Arial" w:cs="Arial"/>
        </w:rPr>
      </w:pPr>
      <w:r w:rsidRPr="00746F54">
        <w:rPr>
          <w:rFonts w:ascii="Arial" w:hAnsi="Arial" w:cs="Arial"/>
        </w:rPr>
        <w:t xml:space="preserve">Pursuant to Tariff Section 33.1.1, the CAISO may, within 60 days following an EDAM Entity Implementation Date, temporarily suspend the participation of an EDAM Entity in the Day-Ahead Market within the EDAM Entity Balancing Authority Area for a period not to exceed 60 days if </w:t>
      </w:r>
      <w:r w:rsidR="009653CC" w:rsidRPr="00746F54">
        <w:rPr>
          <w:rFonts w:ascii="Arial" w:hAnsi="Arial" w:cs="Arial"/>
        </w:rPr>
        <w:t xml:space="preserve">any </w:t>
      </w:r>
      <w:r w:rsidRPr="00746F54">
        <w:rPr>
          <w:rFonts w:ascii="Arial" w:hAnsi="Arial" w:cs="Arial"/>
        </w:rPr>
        <w:t>market or system operational issue adversely impact</w:t>
      </w:r>
      <w:r w:rsidR="009653CC" w:rsidRPr="00746F54">
        <w:rPr>
          <w:rFonts w:ascii="Arial" w:hAnsi="Arial" w:cs="Arial"/>
        </w:rPr>
        <w:t>s</w:t>
      </w:r>
      <w:r w:rsidRPr="00746F54">
        <w:rPr>
          <w:rFonts w:ascii="Arial" w:hAnsi="Arial" w:cs="Arial"/>
        </w:rPr>
        <w:t xml:space="preserve"> any portion of the EDAM Area.  The term</w:t>
      </w:r>
      <w:r w:rsidR="006E3CE8" w:rsidRPr="00746F54">
        <w:rPr>
          <w:rFonts w:ascii="Arial" w:hAnsi="Arial" w:cs="Arial"/>
        </w:rPr>
        <w:t>s</w:t>
      </w:r>
      <w:r w:rsidRPr="00746F54">
        <w:rPr>
          <w:rFonts w:ascii="Arial" w:hAnsi="Arial" w:cs="Arial"/>
        </w:rPr>
        <w:t xml:space="preserve"> of the temporary suspension </w:t>
      </w:r>
      <w:r w:rsidR="006E3CE8" w:rsidRPr="00746F54">
        <w:rPr>
          <w:rFonts w:ascii="Arial" w:hAnsi="Arial" w:cs="Arial"/>
        </w:rPr>
        <w:t>shall be pursuant to a CAISO issued Market Notice</w:t>
      </w:r>
      <w:r w:rsidRPr="00746F54">
        <w:rPr>
          <w:rFonts w:ascii="Arial" w:hAnsi="Arial" w:cs="Arial"/>
        </w:rPr>
        <w:t xml:space="preserve"> </w:t>
      </w:r>
      <w:r w:rsidR="006E3CE8" w:rsidRPr="00746F54">
        <w:rPr>
          <w:rFonts w:ascii="Arial" w:hAnsi="Arial" w:cs="Arial"/>
        </w:rPr>
        <w:t>to include the expected timeline of the temporary suspension and the impacted entities.  CAISO may continue operation of the Day-Ahead Market</w:t>
      </w:r>
      <w:r w:rsidR="009654A4" w:rsidRPr="00746F54">
        <w:rPr>
          <w:rFonts w:ascii="Arial" w:hAnsi="Arial" w:cs="Arial"/>
        </w:rPr>
        <w:t xml:space="preserve"> in the rest of the EDAM Area without participation of the suspended EDAM Entity for a reasonable period to facilitate resolution to the market or operational issue(s).  </w:t>
      </w:r>
      <w:r w:rsidR="00732099" w:rsidRPr="00746F54">
        <w:rPr>
          <w:rFonts w:ascii="Arial" w:hAnsi="Arial" w:cs="Arial"/>
        </w:rPr>
        <w:t xml:space="preserve">  See EDAM Disruption for further details. </w:t>
      </w:r>
    </w:p>
    <w:p w14:paraId="4C16E342" w14:textId="0037940D" w:rsidR="00A156CF" w:rsidRPr="00746F54" w:rsidRDefault="006016C0" w:rsidP="005264B9">
      <w:pPr>
        <w:pStyle w:val="Heading2"/>
        <w:rPr>
          <w:rFonts w:ascii="Arial" w:hAnsi="Arial" w:cs="Arial"/>
        </w:rPr>
      </w:pPr>
      <w:bookmarkStart w:id="34" w:name="_Toc211337869"/>
      <w:bookmarkStart w:id="35" w:name="_Toc228963679"/>
      <w:r w:rsidRPr="00746F54">
        <w:rPr>
          <w:rFonts w:ascii="Arial" w:hAnsi="Arial" w:cs="Arial"/>
        </w:rPr>
        <w:t xml:space="preserve">Additional </w:t>
      </w:r>
      <w:r w:rsidR="00B84C5E" w:rsidRPr="00746F54">
        <w:rPr>
          <w:rFonts w:ascii="Arial" w:hAnsi="Arial" w:cs="Arial"/>
        </w:rPr>
        <w:t xml:space="preserve">Roles and Responsibilities </w:t>
      </w:r>
      <w:r w:rsidRPr="00746F54">
        <w:rPr>
          <w:rFonts w:ascii="Arial" w:hAnsi="Arial" w:cs="Arial"/>
        </w:rPr>
        <w:t xml:space="preserve">under </w:t>
      </w:r>
      <w:r w:rsidR="00B84C5E" w:rsidRPr="00746F54">
        <w:rPr>
          <w:rFonts w:ascii="Arial" w:hAnsi="Arial" w:cs="Arial"/>
        </w:rPr>
        <w:t>EDAM</w:t>
      </w:r>
      <w:bookmarkEnd w:id="34"/>
      <w:bookmarkEnd w:id="35"/>
    </w:p>
    <w:p w14:paraId="41582A44" w14:textId="6D2BC565" w:rsidR="005A5990" w:rsidRPr="00746F54" w:rsidRDefault="005A5990" w:rsidP="00636D40">
      <w:pPr>
        <w:spacing w:after="240" w:line="300" w:lineRule="auto"/>
        <w:rPr>
          <w:rFonts w:ascii="Arial" w:eastAsia="Calibri" w:hAnsi="Arial" w:cs="Arial"/>
          <w:kern w:val="2"/>
          <w:u w:val="single"/>
          <w14:ligatures w14:val="standardContextual"/>
        </w:rPr>
      </w:pPr>
      <w:r w:rsidRPr="00746F54">
        <w:rPr>
          <w:rFonts w:ascii="Arial" w:eastAsia="Calibri" w:hAnsi="Arial" w:cs="Arial"/>
          <w:kern w:val="2"/>
          <w:u w:val="single"/>
          <w14:ligatures w14:val="standardContextual"/>
        </w:rPr>
        <w:t>Reference tariff section 4, 33.4</w:t>
      </w:r>
    </w:p>
    <w:p w14:paraId="191ECE4C" w14:textId="4C8ACB21" w:rsidR="00A156CF" w:rsidRPr="00746F54" w:rsidRDefault="00A156CF" w:rsidP="00A156CF">
      <w:pPr>
        <w:numPr>
          <w:ilvl w:val="0"/>
          <w:numId w:val="73"/>
        </w:numPr>
        <w:spacing w:after="240" w:line="300" w:lineRule="auto"/>
        <w:rPr>
          <w:rFonts w:ascii="Arial" w:eastAsia="Calibri" w:hAnsi="Arial" w:cs="Arial"/>
          <w:kern w:val="2"/>
          <w14:ligatures w14:val="standardContextual"/>
        </w:rPr>
      </w:pPr>
      <w:r w:rsidRPr="00746F54">
        <w:rPr>
          <w:rFonts w:ascii="Arial" w:eastAsia="Calibri" w:hAnsi="Arial" w:cs="Arial"/>
          <w:kern w:val="2"/>
          <w14:ligatures w14:val="standardContextual"/>
        </w:rPr>
        <w:t xml:space="preserve">This section identifies and describes the basic </w:t>
      </w:r>
      <w:r w:rsidRPr="00746F54">
        <w:rPr>
          <w:rFonts w:ascii="Arial" w:eastAsia="Calibri" w:hAnsi="Arial" w:cs="Arial"/>
          <w:i/>
          <w:kern w:val="2"/>
          <w14:ligatures w14:val="standardContextual"/>
        </w:rPr>
        <w:t>Roles and Responsibilities</w:t>
      </w:r>
      <w:r w:rsidRPr="00746F54">
        <w:rPr>
          <w:rFonts w:ascii="Arial" w:eastAsia="Calibri" w:hAnsi="Arial" w:cs="Arial"/>
          <w:kern w:val="2"/>
          <w14:ligatures w14:val="standardContextual"/>
        </w:rPr>
        <w:t xml:space="preserve"> of the entities that participate in the CAISO Extended </w:t>
      </w:r>
      <w:r w:rsidR="00750440" w:rsidRPr="00746F54">
        <w:rPr>
          <w:rFonts w:ascii="Arial" w:eastAsia="Calibri" w:hAnsi="Arial" w:cs="Arial"/>
          <w:kern w:val="2"/>
          <w14:ligatures w14:val="standardContextual"/>
        </w:rPr>
        <w:t>Day-Ahead</w:t>
      </w:r>
      <w:r w:rsidR="001266A7"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 xml:space="preserve">Market.  </w:t>
      </w:r>
    </w:p>
    <w:p w14:paraId="4DDCF387" w14:textId="410F9FFB" w:rsidR="00A156CF" w:rsidRPr="00746F54" w:rsidRDefault="00A156CF" w:rsidP="00A156CF">
      <w:pPr>
        <w:numPr>
          <w:ilvl w:val="0"/>
          <w:numId w:val="73"/>
        </w:numPr>
        <w:spacing w:after="240" w:line="300" w:lineRule="auto"/>
        <w:rPr>
          <w:rFonts w:ascii="Arial" w:eastAsia="Calibri" w:hAnsi="Arial" w:cs="Arial"/>
          <w:kern w:val="2"/>
          <w14:ligatures w14:val="standardContextual"/>
        </w:rPr>
      </w:pPr>
      <w:r w:rsidRPr="00746F54">
        <w:rPr>
          <w:rFonts w:ascii="Arial" w:eastAsia="Calibri" w:hAnsi="Arial" w:cs="Arial"/>
          <w:kern w:val="2"/>
          <w14:ligatures w14:val="standardContextual"/>
        </w:rPr>
        <w:t xml:space="preserve">This section introduces </w:t>
      </w:r>
      <w:r w:rsidR="001C5C20" w:rsidRPr="00746F54">
        <w:rPr>
          <w:rFonts w:ascii="Arial" w:eastAsia="Calibri" w:hAnsi="Arial" w:cs="Arial"/>
          <w:kern w:val="2"/>
          <w14:ligatures w14:val="standardContextual"/>
        </w:rPr>
        <w:t xml:space="preserve">four types of participants that are extensions of existing EIM functions, as well as </w:t>
      </w:r>
      <w:r w:rsidR="0038528E" w:rsidRPr="00746F54">
        <w:rPr>
          <w:rFonts w:ascii="Arial" w:eastAsia="Calibri" w:hAnsi="Arial" w:cs="Arial"/>
          <w:kern w:val="2"/>
          <w14:ligatures w14:val="standardContextual"/>
        </w:rPr>
        <w:t>three</w:t>
      </w:r>
      <w:r w:rsidRPr="00746F54">
        <w:rPr>
          <w:rFonts w:ascii="Arial" w:eastAsia="Calibri" w:hAnsi="Arial" w:cs="Arial"/>
          <w:kern w:val="2"/>
          <w14:ligatures w14:val="standardContextual"/>
        </w:rPr>
        <w:t xml:space="preserve"> new types of participants</w:t>
      </w:r>
      <w:r w:rsidR="0038528E" w:rsidRPr="00746F54">
        <w:rPr>
          <w:rFonts w:ascii="Arial" w:eastAsia="Calibri" w:hAnsi="Arial" w:cs="Arial"/>
          <w:kern w:val="2"/>
          <w14:ligatures w14:val="standardContextual"/>
        </w:rPr>
        <w:t>,</w:t>
      </w:r>
      <w:r w:rsidRPr="00746F54">
        <w:rPr>
          <w:rFonts w:ascii="Arial" w:eastAsia="Calibri" w:hAnsi="Arial" w:cs="Arial"/>
          <w:kern w:val="2"/>
          <w14:ligatures w14:val="standardContextual"/>
        </w:rPr>
        <w:t xml:space="preserve"> in the Extended </w:t>
      </w:r>
      <w:r w:rsidR="00750440" w:rsidRPr="00746F54">
        <w:rPr>
          <w:rFonts w:ascii="Arial" w:eastAsia="Calibri" w:hAnsi="Arial" w:cs="Arial"/>
          <w:kern w:val="2"/>
          <w14:ligatures w14:val="standardContextual"/>
        </w:rPr>
        <w:t>Day-Ahead</w:t>
      </w:r>
      <w:r w:rsidR="001266A7"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 xml:space="preserve">Market, which are collectively known as EDAM </w:t>
      </w:r>
      <w:r w:rsidR="003D7AEA" w:rsidRPr="00746F54">
        <w:rPr>
          <w:rFonts w:ascii="Arial" w:eastAsia="Calibri" w:hAnsi="Arial" w:cs="Arial"/>
          <w:kern w:val="2"/>
          <w14:ligatures w14:val="standardContextual"/>
        </w:rPr>
        <w:t>m</w:t>
      </w:r>
      <w:r w:rsidRPr="00746F54">
        <w:rPr>
          <w:rFonts w:ascii="Arial" w:eastAsia="Calibri" w:hAnsi="Arial" w:cs="Arial"/>
          <w:kern w:val="2"/>
          <w14:ligatures w14:val="standardContextual"/>
        </w:rPr>
        <w:t xml:space="preserve">arket </w:t>
      </w:r>
      <w:r w:rsidR="003D7AEA" w:rsidRPr="00746F54">
        <w:rPr>
          <w:rFonts w:ascii="Arial" w:eastAsia="Calibri" w:hAnsi="Arial" w:cs="Arial"/>
          <w:kern w:val="2"/>
          <w14:ligatures w14:val="standardContextual"/>
        </w:rPr>
        <w:t>p</w:t>
      </w:r>
      <w:r w:rsidRPr="00746F54">
        <w:rPr>
          <w:rFonts w:ascii="Arial" w:eastAsia="Calibri" w:hAnsi="Arial" w:cs="Arial"/>
          <w:kern w:val="2"/>
          <w14:ligatures w14:val="standardContextual"/>
        </w:rPr>
        <w:t xml:space="preserve">articipants. </w:t>
      </w:r>
    </w:p>
    <w:p w14:paraId="77918E90" w14:textId="22994777" w:rsidR="006016C0" w:rsidRPr="00746F54" w:rsidRDefault="006016C0" w:rsidP="00A156CF">
      <w:pPr>
        <w:numPr>
          <w:ilvl w:val="0"/>
          <w:numId w:val="73"/>
        </w:numPr>
        <w:spacing w:after="240" w:line="300" w:lineRule="auto"/>
        <w:rPr>
          <w:rFonts w:ascii="Arial" w:eastAsia="Calibri" w:hAnsi="Arial" w:cs="Arial"/>
          <w:kern w:val="2"/>
          <w14:ligatures w14:val="standardContextual"/>
        </w:rPr>
      </w:pPr>
      <w:r w:rsidRPr="00746F54">
        <w:rPr>
          <w:rFonts w:ascii="Arial" w:eastAsia="Calibri" w:hAnsi="Arial" w:cs="Arial"/>
          <w:kern w:val="2"/>
          <w14:ligatures w14:val="standardContextual"/>
        </w:rPr>
        <w:t>Entities should also review ISO Tariff Section 4</w:t>
      </w:r>
      <w:r w:rsidR="00821EA3" w:rsidRPr="00746F54">
        <w:rPr>
          <w:rFonts w:ascii="Arial" w:eastAsia="Calibri" w:hAnsi="Arial" w:cs="Arial"/>
          <w:kern w:val="2"/>
          <w14:ligatures w14:val="standardContextual"/>
        </w:rPr>
        <w:t>, Section 33.4</w:t>
      </w:r>
      <w:r w:rsidRPr="00746F54">
        <w:rPr>
          <w:rFonts w:ascii="Arial" w:eastAsia="Calibri" w:hAnsi="Arial" w:cs="Arial"/>
          <w:kern w:val="2"/>
          <w14:ligatures w14:val="standardContextual"/>
        </w:rPr>
        <w:t xml:space="preserve"> and the implementing business practice manual</w:t>
      </w:r>
      <w:r w:rsidR="00EB464D" w:rsidRPr="00746F54">
        <w:rPr>
          <w:rFonts w:ascii="Arial" w:eastAsia="Calibri" w:hAnsi="Arial" w:cs="Arial"/>
          <w:kern w:val="2"/>
          <w14:ligatures w14:val="standardContextual"/>
        </w:rPr>
        <w:t>s</w:t>
      </w:r>
      <w:r w:rsidRPr="00746F54">
        <w:rPr>
          <w:rFonts w:ascii="Arial" w:eastAsia="Calibri" w:hAnsi="Arial" w:cs="Arial"/>
          <w:kern w:val="2"/>
          <w14:ligatures w14:val="standardContextual"/>
        </w:rPr>
        <w:t xml:space="preserve">.  </w:t>
      </w:r>
    </w:p>
    <w:p w14:paraId="7021BA4C" w14:textId="5A794A52" w:rsidR="00317FB4" w:rsidRPr="00746F54" w:rsidRDefault="00317FB4" w:rsidP="00317FB4">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Entity</w:t>
      </w:r>
      <w:r w:rsidRPr="00746F54">
        <w:rPr>
          <w:rFonts w:ascii="Arial" w:eastAsia="Calibri" w:hAnsi="Arial" w:cs="Arial"/>
          <w:kern w:val="2"/>
          <w14:ligatures w14:val="standardContextual"/>
        </w:rPr>
        <w:t>: The</w:t>
      </w:r>
      <w:r w:rsidR="00175724" w:rsidRPr="00746F54">
        <w:rPr>
          <w:rFonts w:ascii="Arial" w:eastAsia="Calibri" w:hAnsi="Arial" w:cs="Arial"/>
          <w:kern w:val="2"/>
          <w14:ligatures w14:val="standardContextual"/>
        </w:rPr>
        <w:t xml:space="preserve"> </w:t>
      </w:r>
      <w:r w:rsidR="003D7AEA" w:rsidRPr="00746F54">
        <w:rPr>
          <w:rFonts w:ascii="Arial" w:eastAsia="Calibri" w:hAnsi="Arial" w:cs="Arial"/>
          <w:kern w:val="2"/>
          <w14:ligatures w14:val="standardContextual"/>
        </w:rPr>
        <w:t xml:space="preserve">EDAM entity </w:t>
      </w:r>
      <w:r w:rsidRPr="00746F54">
        <w:rPr>
          <w:rFonts w:ascii="Arial" w:eastAsia="Calibri" w:hAnsi="Arial" w:cs="Arial"/>
          <w:kern w:val="2"/>
          <w14:ligatures w14:val="standardContextual"/>
        </w:rPr>
        <w:t xml:space="preserve">is a </w:t>
      </w:r>
      <w:r w:rsidR="003D7AEA" w:rsidRPr="00746F54">
        <w:rPr>
          <w:rFonts w:ascii="Arial" w:eastAsia="Calibri" w:hAnsi="Arial" w:cs="Arial"/>
          <w:kern w:val="2"/>
          <w14:ligatures w14:val="standardContextual"/>
        </w:rPr>
        <w:t>b</w:t>
      </w:r>
      <w:r w:rsidRPr="00746F54">
        <w:rPr>
          <w:rFonts w:ascii="Arial" w:eastAsia="Calibri" w:hAnsi="Arial" w:cs="Arial"/>
          <w:kern w:val="2"/>
          <w14:ligatures w14:val="standardContextual"/>
        </w:rPr>
        <w:t xml:space="preserve">alancing </w:t>
      </w:r>
      <w:r w:rsidR="003D7AEA" w:rsidRPr="00746F54">
        <w:rPr>
          <w:rFonts w:ascii="Arial" w:eastAsia="Calibri" w:hAnsi="Arial" w:cs="Arial"/>
          <w:kern w:val="2"/>
          <w14:ligatures w14:val="standardContextual"/>
        </w:rPr>
        <w:t>a</w:t>
      </w:r>
      <w:r w:rsidRPr="00746F54">
        <w:rPr>
          <w:rFonts w:ascii="Arial" w:eastAsia="Calibri" w:hAnsi="Arial" w:cs="Arial"/>
          <w:kern w:val="2"/>
          <w14:ligatures w14:val="standardContextual"/>
        </w:rPr>
        <w:t xml:space="preserve">uthority and existing EIM </w:t>
      </w:r>
      <w:r w:rsidR="003D7AEA" w:rsidRPr="00746F54">
        <w:rPr>
          <w:rFonts w:ascii="Arial" w:eastAsia="Calibri" w:hAnsi="Arial" w:cs="Arial"/>
          <w:kern w:val="2"/>
          <w14:ligatures w14:val="standardContextual"/>
        </w:rPr>
        <w:t>e</w:t>
      </w:r>
      <w:r w:rsidRPr="00746F54">
        <w:rPr>
          <w:rFonts w:ascii="Arial" w:eastAsia="Calibri" w:hAnsi="Arial" w:cs="Arial"/>
          <w:kern w:val="2"/>
          <w14:ligatures w14:val="standardContextual"/>
        </w:rPr>
        <w:t>ntity that elects to</w:t>
      </w:r>
      <w:r w:rsidR="00546397">
        <w:rPr>
          <w:rFonts w:ascii="Arial" w:eastAsia="Calibri" w:hAnsi="Arial" w:cs="Arial"/>
          <w:kern w:val="2"/>
          <w14:ligatures w14:val="standardContextual"/>
        </w:rPr>
        <w:t xml:space="preserve"> extend</w:t>
      </w:r>
      <w:r w:rsidRPr="00746F54">
        <w:rPr>
          <w:rFonts w:ascii="Arial" w:eastAsia="Calibri" w:hAnsi="Arial" w:cs="Arial"/>
          <w:kern w:val="2"/>
          <w14:ligatures w14:val="standardContextual"/>
        </w:rPr>
        <w:t xml:space="preserve"> participat</w:t>
      </w:r>
      <w:r w:rsidR="00546397">
        <w:rPr>
          <w:rFonts w:ascii="Arial" w:eastAsia="Calibri" w:hAnsi="Arial" w:cs="Arial"/>
          <w:kern w:val="2"/>
          <w14:ligatures w14:val="standardContextual"/>
        </w:rPr>
        <w:t>ion to</w:t>
      </w:r>
      <w:r w:rsidRPr="00746F54">
        <w:rPr>
          <w:rFonts w:ascii="Arial" w:eastAsia="Calibri" w:hAnsi="Arial" w:cs="Arial"/>
          <w:kern w:val="2"/>
          <w14:ligatures w14:val="standardContextual"/>
        </w:rPr>
        <w:t xml:space="preserve"> the Extended </w:t>
      </w:r>
      <w:r w:rsidR="00750440" w:rsidRPr="00746F54">
        <w:rPr>
          <w:rFonts w:ascii="Arial" w:eastAsia="Calibri" w:hAnsi="Arial" w:cs="Arial"/>
          <w:kern w:val="2"/>
          <w14:ligatures w14:val="standardContextual"/>
        </w:rPr>
        <w:t>Day-Ahead</w:t>
      </w:r>
      <w:r w:rsidR="00175724"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 xml:space="preserve">Market.  As an EDAM </w:t>
      </w:r>
      <w:r w:rsidR="003D7AEA" w:rsidRPr="00746F54">
        <w:rPr>
          <w:rFonts w:ascii="Arial" w:eastAsia="Calibri" w:hAnsi="Arial" w:cs="Arial"/>
          <w:kern w:val="2"/>
          <w14:ligatures w14:val="standardContextual"/>
        </w:rPr>
        <w:t>m</w:t>
      </w:r>
      <w:r w:rsidRPr="00746F54">
        <w:rPr>
          <w:rFonts w:ascii="Arial" w:eastAsia="Calibri" w:hAnsi="Arial" w:cs="Arial"/>
          <w:kern w:val="2"/>
          <w14:ligatures w14:val="standardContextual"/>
        </w:rPr>
        <w:t xml:space="preserve">arket </w:t>
      </w:r>
      <w:r w:rsidR="003D7AEA" w:rsidRPr="00746F54">
        <w:rPr>
          <w:rFonts w:ascii="Arial" w:eastAsia="Calibri" w:hAnsi="Arial" w:cs="Arial"/>
          <w:kern w:val="2"/>
          <w14:ligatures w14:val="standardContextual"/>
        </w:rPr>
        <w:t>p</w:t>
      </w:r>
      <w:r w:rsidRPr="00746F54">
        <w:rPr>
          <w:rFonts w:ascii="Arial" w:eastAsia="Calibri" w:hAnsi="Arial" w:cs="Arial"/>
          <w:kern w:val="2"/>
          <w14:ligatures w14:val="standardContextual"/>
        </w:rPr>
        <w:t xml:space="preserve">articipant, the EDAM </w:t>
      </w:r>
      <w:r w:rsidR="003D7AEA" w:rsidRPr="00746F54">
        <w:rPr>
          <w:rFonts w:ascii="Arial" w:eastAsia="Calibri" w:hAnsi="Arial" w:cs="Arial"/>
          <w:kern w:val="2"/>
          <w14:ligatures w14:val="standardContextual"/>
        </w:rPr>
        <w:t>e</w:t>
      </w:r>
      <w:r w:rsidRPr="00746F54">
        <w:rPr>
          <w:rFonts w:ascii="Arial" w:eastAsia="Calibri" w:hAnsi="Arial" w:cs="Arial"/>
          <w:kern w:val="2"/>
          <w14:ligatures w14:val="standardContextual"/>
        </w:rPr>
        <w:t xml:space="preserve">ntity is responsible: (1) for identifying available transmission intertie capacity in its balancing authority area for use in CAISO’s Extended </w:t>
      </w:r>
      <w:r w:rsidR="00750440" w:rsidRPr="00746F54">
        <w:rPr>
          <w:rFonts w:ascii="Arial" w:eastAsia="Calibri" w:hAnsi="Arial" w:cs="Arial"/>
          <w:kern w:val="2"/>
          <w14:ligatures w14:val="standardContextual"/>
        </w:rPr>
        <w:t>Day-Ahead</w:t>
      </w:r>
      <w:r w:rsidR="00175724"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 xml:space="preserve">Market and, (2) through its EDAM </w:t>
      </w:r>
      <w:r w:rsidR="003D7AEA" w:rsidRPr="00746F54">
        <w:rPr>
          <w:rFonts w:ascii="Arial" w:eastAsia="Calibri" w:hAnsi="Arial" w:cs="Arial"/>
          <w:kern w:val="2"/>
          <w14:ligatures w14:val="standardContextual"/>
        </w:rPr>
        <w:t>e</w:t>
      </w:r>
      <w:r w:rsidRPr="00746F54">
        <w:rPr>
          <w:rFonts w:ascii="Arial" w:eastAsia="Calibri" w:hAnsi="Arial" w:cs="Arial"/>
          <w:kern w:val="2"/>
          <w14:ligatures w14:val="standardContextual"/>
        </w:rPr>
        <w:t xml:space="preserve">ntity Scheduling Coordinator, for scheduling all </w:t>
      </w:r>
      <w:r w:rsidR="00813EF0" w:rsidRPr="00746F54">
        <w:rPr>
          <w:rFonts w:ascii="Arial" w:eastAsia="Calibri" w:hAnsi="Arial" w:cs="Arial"/>
          <w:kern w:val="2"/>
          <w14:ligatures w14:val="standardContextual"/>
        </w:rPr>
        <w:t>load serving entities</w:t>
      </w:r>
      <w:r w:rsidRPr="00746F54">
        <w:rPr>
          <w:rFonts w:ascii="Arial" w:eastAsia="Calibri" w:hAnsi="Arial" w:cs="Arial"/>
          <w:kern w:val="2"/>
          <w14:ligatures w14:val="standardContextual"/>
        </w:rPr>
        <w:t xml:space="preserve"> in its balancing authority area </w:t>
      </w:r>
      <w:r w:rsidR="00813EF0" w:rsidRPr="00746F54">
        <w:rPr>
          <w:rFonts w:ascii="Arial" w:eastAsia="Calibri" w:hAnsi="Arial" w:cs="Arial"/>
          <w:kern w:val="2"/>
          <w14:ligatures w14:val="standardContextual"/>
        </w:rPr>
        <w:t xml:space="preserve">participating in the </w:t>
      </w:r>
      <w:r w:rsidR="003D7AEA" w:rsidRPr="00746F54">
        <w:rPr>
          <w:rFonts w:ascii="Arial" w:eastAsia="Calibri" w:hAnsi="Arial" w:cs="Arial"/>
          <w:kern w:val="2"/>
          <w14:ligatures w14:val="standardContextual"/>
        </w:rPr>
        <w:t xml:space="preserve">EDAM </w:t>
      </w:r>
      <w:r w:rsidR="00AC1DAF" w:rsidRPr="00746F54">
        <w:rPr>
          <w:rFonts w:ascii="Arial" w:eastAsia="Calibri" w:hAnsi="Arial" w:cs="Arial"/>
          <w:kern w:val="2"/>
          <w14:ligatures w14:val="standardContextual"/>
        </w:rPr>
        <w:t xml:space="preserve">and, (3) </w:t>
      </w:r>
      <w:r w:rsidR="00546397">
        <w:rPr>
          <w:rFonts w:ascii="Arial" w:eastAsia="Calibri" w:hAnsi="Arial" w:cs="Arial"/>
          <w:kern w:val="2"/>
          <w14:ligatures w14:val="standardContextual"/>
        </w:rPr>
        <w:t xml:space="preserve">to </w:t>
      </w:r>
      <w:r w:rsidR="00AC1DAF" w:rsidRPr="00746F54">
        <w:rPr>
          <w:rFonts w:ascii="Arial" w:eastAsia="Calibri" w:hAnsi="Arial" w:cs="Arial"/>
          <w:kern w:val="2"/>
          <w14:ligatures w14:val="standardContextual"/>
        </w:rPr>
        <w:t xml:space="preserve">identify, coordinate and implement accurate </w:t>
      </w:r>
      <w:r w:rsidR="00AC1DAF" w:rsidRPr="00746F54">
        <w:rPr>
          <w:rFonts w:ascii="Arial" w:eastAsia="Calibri" w:hAnsi="Arial" w:cs="Arial"/>
          <w:kern w:val="2"/>
          <w14:ligatures w14:val="standardContextual"/>
        </w:rPr>
        <w:lastRenderedPageBreak/>
        <w:t>market constraints used in EDAM processes.</w:t>
      </w:r>
      <w:r w:rsidR="00EB464D" w:rsidRPr="00746F54">
        <w:rPr>
          <w:rFonts w:ascii="Arial" w:eastAsia="Calibri" w:hAnsi="Arial" w:cs="Arial"/>
          <w:kern w:val="2"/>
          <w14:ligatures w14:val="standardContextual"/>
        </w:rPr>
        <w:t xml:space="preserve">  The CAISO </w:t>
      </w:r>
      <w:r w:rsidR="00546397">
        <w:rPr>
          <w:rFonts w:ascii="Arial" w:eastAsia="Calibri" w:hAnsi="Arial" w:cs="Arial"/>
          <w:kern w:val="2"/>
          <w14:ligatures w14:val="standardContextual"/>
        </w:rPr>
        <w:t xml:space="preserve">balancing </w:t>
      </w:r>
      <w:r w:rsidR="00A62A99">
        <w:rPr>
          <w:rFonts w:ascii="Arial" w:eastAsia="Calibri" w:hAnsi="Arial" w:cs="Arial"/>
          <w:kern w:val="2"/>
          <w14:ligatures w14:val="standardContextual"/>
        </w:rPr>
        <w:t xml:space="preserve">authority </w:t>
      </w:r>
      <w:r w:rsidR="00A62A99" w:rsidRPr="00746F54">
        <w:rPr>
          <w:rFonts w:ascii="Arial" w:eastAsia="Calibri" w:hAnsi="Arial" w:cs="Arial"/>
          <w:kern w:val="2"/>
          <w14:ligatures w14:val="standardContextual"/>
        </w:rPr>
        <w:t>is</w:t>
      </w:r>
      <w:r w:rsidR="00EB464D" w:rsidRPr="00746F54">
        <w:rPr>
          <w:rFonts w:ascii="Arial" w:eastAsia="Calibri" w:hAnsi="Arial" w:cs="Arial"/>
          <w:kern w:val="2"/>
          <w14:ligatures w14:val="standardContextual"/>
        </w:rPr>
        <w:t xml:space="preserve"> also participating in EDAM but not referred to as an “EDAM Entity.”</w:t>
      </w:r>
    </w:p>
    <w:p w14:paraId="60233AE7" w14:textId="42AA6EB4" w:rsidR="00175724" w:rsidRPr="00746F54" w:rsidRDefault="00317FB4" w:rsidP="00317FB4">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Entity Scheduling Coordinator</w:t>
      </w:r>
      <w:r w:rsidRPr="00746F54">
        <w:rPr>
          <w:rFonts w:ascii="Arial" w:eastAsia="Calibri" w:hAnsi="Arial" w:cs="Arial"/>
          <w:kern w:val="2"/>
          <w14:ligatures w14:val="standardContextual"/>
        </w:rPr>
        <w:t xml:space="preserve">: The EDAM Entity Scheduling Coordinator is the entity through which the EDAM </w:t>
      </w:r>
      <w:r w:rsidR="003D7AEA" w:rsidRPr="00746F54">
        <w:rPr>
          <w:rFonts w:ascii="Arial" w:eastAsia="Calibri" w:hAnsi="Arial" w:cs="Arial"/>
          <w:kern w:val="2"/>
          <w14:ligatures w14:val="standardContextual"/>
        </w:rPr>
        <w:t>e</w:t>
      </w:r>
      <w:r w:rsidRPr="00746F54">
        <w:rPr>
          <w:rFonts w:ascii="Arial" w:eastAsia="Calibri" w:hAnsi="Arial" w:cs="Arial"/>
          <w:kern w:val="2"/>
          <w14:ligatures w14:val="standardContextual"/>
        </w:rPr>
        <w:t xml:space="preserve">ntity participates in the </w:t>
      </w:r>
      <w:r w:rsidR="00750440" w:rsidRPr="00746F54">
        <w:rPr>
          <w:rFonts w:ascii="Arial" w:eastAsia="Calibri" w:hAnsi="Arial" w:cs="Arial"/>
          <w:kern w:val="2"/>
          <w14:ligatures w14:val="standardContextual"/>
        </w:rPr>
        <w:t>Day-Ahead</w:t>
      </w:r>
      <w:r w:rsidR="00175724"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 xml:space="preserve">Market.  </w:t>
      </w:r>
      <w:r w:rsidR="003D7AEA" w:rsidRPr="00746F54">
        <w:rPr>
          <w:rFonts w:ascii="Arial" w:eastAsia="Calibri" w:hAnsi="Arial" w:cs="Arial"/>
          <w:kern w:val="2"/>
          <w14:ligatures w14:val="standardContextual"/>
        </w:rPr>
        <w:t xml:space="preserve">To </w:t>
      </w:r>
      <w:r w:rsidRPr="00746F54">
        <w:rPr>
          <w:rFonts w:ascii="Arial" w:eastAsia="Calibri" w:hAnsi="Arial" w:cs="Arial"/>
          <w:kern w:val="2"/>
          <w14:ligatures w14:val="standardContextual"/>
        </w:rPr>
        <w:t>prevent the inappropriate sharing of information regarding transmission and generation, an EDAM Entity Scheduling Coordinator cannot be a scheduling coordinator for a supply resource unless it is a transmission provider subject to the Commission’s standards of conduct set forth in 18 C.F.R. § 358.</w:t>
      </w:r>
      <w:r w:rsidR="00150922" w:rsidRPr="00746F54">
        <w:rPr>
          <w:rFonts w:ascii="Arial" w:eastAsia="Calibri" w:hAnsi="Arial" w:cs="Arial"/>
          <w:kern w:val="2"/>
          <w14:ligatures w14:val="standardContextual"/>
        </w:rPr>
        <w:t xml:space="preserve">  The EDAM Entity Scheduling Coordinator for an EDAM </w:t>
      </w:r>
      <w:r w:rsidR="003D7AEA" w:rsidRPr="00746F54">
        <w:rPr>
          <w:rFonts w:ascii="Arial" w:eastAsia="Calibri" w:hAnsi="Arial" w:cs="Arial"/>
          <w:kern w:val="2"/>
          <w14:ligatures w14:val="standardContextual"/>
        </w:rPr>
        <w:t>e</w:t>
      </w:r>
      <w:r w:rsidR="00150922" w:rsidRPr="00746F54">
        <w:rPr>
          <w:rFonts w:ascii="Arial" w:eastAsia="Calibri" w:hAnsi="Arial" w:cs="Arial"/>
          <w:kern w:val="2"/>
          <w14:ligatures w14:val="standardContextual"/>
        </w:rPr>
        <w:t xml:space="preserve">ntity must be the same as the EIM Scheduling Coordinator to ensure alignment between </w:t>
      </w:r>
      <w:r w:rsidR="00CC63A2" w:rsidRPr="00746F54">
        <w:rPr>
          <w:rFonts w:ascii="Arial" w:eastAsia="Calibri" w:hAnsi="Arial" w:cs="Arial"/>
          <w:kern w:val="2"/>
          <w14:ligatures w14:val="standardContextual"/>
        </w:rPr>
        <w:t>the day-</w:t>
      </w:r>
      <w:r w:rsidR="00175724" w:rsidRPr="00746F54">
        <w:rPr>
          <w:rFonts w:ascii="Arial" w:eastAsia="Calibri" w:hAnsi="Arial" w:cs="Arial"/>
          <w:kern w:val="2"/>
          <w14:ligatures w14:val="standardContextual"/>
        </w:rPr>
        <w:t>ahe</w:t>
      </w:r>
      <w:r w:rsidR="00CC63A2" w:rsidRPr="00746F54">
        <w:rPr>
          <w:rFonts w:ascii="Arial" w:eastAsia="Calibri" w:hAnsi="Arial" w:cs="Arial"/>
          <w:kern w:val="2"/>
          <w14:ligatures w14:val="standardContextual"/>
        </w:rPr>
        <w:t>ad and real-time market.</w:t>
      </w:r>
      <w:r w:rsidR="00175724" w:rsidRPr="00746F54">
        <w:rPr>
          <w:rFonts w:ascii="Arial" w:eastAsia="Calibri" w:hAnsi="Arial" w:cs="Arial"/>
          <w:kern w:val="2"/>
          <w14:ligatures w14:val="standardContextual"/>
        </w:rPr>
        <w:t xml:space="preserve"> </w:t>
      </w:r>
    </w:p>
    <w:p w14:paraId="646B721E" w14:textId="77B2B348" w:rsidR="00813EF0" w:rsidRPr="00746F54" w:rsidRDefault="00813EF0" w:rsidP="00317FB4">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Resource</w:t>
      </w:r>
      <w:r w:rsidRPr="00746F54">
        <w:rPr>
          <w:rFonts w:ascii="Arial" w:eastAsia="Calibri" w:hAnsi="Arial" w:cs="Arial"/>
          <w:kern w:val="2"/>
          <w14:ligatures w14:val="standardContextual"/>
        </w:rPr>
        <w:t>:</w:t>
      </w:r>
      <w:r w:rsidR="00E22E1C" w:rsidRPr="00746F54">
        <w:rPr>
          <w:rFonts w:ascii="Arial" w:eastAsia="Calibri" w:hAnsi="Arial" w:cs="Arial"/>
          <w:kern w:val="2"/>
          <w14:ligatures w14:val="standardContextual"/>
        </w:rPr>
        <w:t xml:space="preserve"> </w:t>
      </w:r>
      <w:r w:rsidR="00E70405" w:rsidRPr="00746F54">
        <w:rPr>
          <w:rFonts w:ascii="Arial" w:eastAsia="Calibri" w:hAnsi="Arial" w:cs="Arial"/>
          <w:kern w:val="2"/>
          <w14:ligatures w14:val="standardContextual"/>
        </w:rPr>
        <w:t xml:space="preserve">Each resource within an EDAM </w:t>
      </w:r>
      <w:r w:rsidR="00CC63A2" w:rsidRPr="00746F54">
        <w:rPr>
          <w:rFonts w:ascii="Arial" w:eastAsia="Calibri" w:hAnsi="Arial" w:cs="Arial"/>
          <w:kern w:val="2"/>
          <w14:ligatures w14:val="standardContextual"/>
        </w:rPr>
        <w:t>e</w:t>
      </w:r>
      <w:r w:rsidR="00E70405" w:rsidRPr="00746F54">
        <w:rPr>
          <w:rFonts w:ascii="Arial" w:eastAsia="Calibri" w:hAnsi="Arial" w:cs="Arial"/>
          <w:kern w:val="2"/>
          <w14:ligatures w14:val="standardContextual"/>
        </w:rPr>
        <w:t xml:space="preserve">ntity </w:t>
      </w:r>
      <w:r w:rsidR="00CC63A2" w:rsidRPr="00746F54">
        <w:rPr>
          <w:rFonts w:ascii="Arial" w:eastAsia="Calibri" w:hAnsi="Arial" w:cs="Arial"/>
          <w:kern w:val="2"/>
          <w14:ligatures w14:val="standardContextual"/>
        </w:rPr>
        <w:t>b</w:t>
      </w:r>
      <w:r w:rsidR="00E70405" w:rsidRPr="00746F54">
        <w:rPr>
          <w:rFonts w:ascii="Arial" w:eastAsia="Calibri" w:hAnsi="Arial" w:cs="Arial"/>
          <w:kern w:val="2"/>
          <w14:ligatures w14:val="standardContextual"/>
        </w:rPr>
        <w:t xml:space="preserve">alancing </w:t>
      </w:r>
      <w:r w:rsidR="00CC63A2" w:rsidRPr="00746F54">
        <w:rPr>
          <w:rFonts w:ascii="Arial" w:eastAsia="Calibri" w:hAnsi="Arial" w:cs="Arial"/>
          <w:kern w:val="2"/>
          <w14:ligatures w14:val="standardContextual"/>
        </w:rPr>
        <w:t>a</w:t>
      </w:r>
      <w:r w:rsidR="00E70405" w:rsidRPr="00746F54">
        <w:rPr>
          <w:rFonts w:ascii="Arial" w:eastAsia="Calibri" w:hAnsi="Arial" w:cs="Arial"/>
          <w:kern w:val="2"/>
          <w14:ligatures w14:val="standardContextual"/>
        </w:rPr>
        <w:t xml:space="preserve">uthority area that </w:t>
      </w:r>
      <w:r w:rsidR="009967FA" w:rsidRPr="00746F54">
        <w:rPr>
          <w:rFonts w:ascii="Arial" w:eastAsia="Calibri" w:hAnsi="Arial" w:cs="Arial"/>
          <w:kern w:val="2"/>
          <w14:ligatures w14:val="standardContextual"/>
        </w:rPr>
        <w:t>can deliver</w:t>
      </w:r>
      <w:r w:rsidR="00E70405" w:rsidRPr="00746F54">
        <w:rPr>
          <w:rFonts w:ascii="Arial" w:eastAsia="Calibri" w:hAnsi="Arial" w:cs="Arial"/>
          <w:kern w:val="2"/>
          <w14:ligatures w14:val="standardContextual"/>
        </w:rPr>
        <w:t xml:space="preserve"> Energy, Imbalance Reserves, Reliability Capacity, Flexible Ramping Product, other Ancillary Services, curtailable Demand, or Demand Response Services (or similar services) and can be committed in the Day-Ahead Market is required to participate in EDAM.  All participating EDAM resources must also participate in the Real-Time Market as a registered EIM resource.  Note that resource non-participation in EIM</w:t>
      </w:r>
      <w:r w:rsidR="00CA2C89">
        <w:rPr>
          <w:rFonts w:ascii="Arial" w:eastAsia="Calibri" w:hAnsi="Arial" w:cs="Arial"/>
          <w:kern w:val="2"/>
          <w14:ligatures w14:val="standardContextual"/>
        </w:rPr>
        <w:t xml:space="preserve"> (Real-Time Market)</w:t>
      </w:r>
      <w:r w:rsidR="00E70405" w:rsidRPr="00746F54">
        <w:rPr>
          <w:rFonts w:ascii="Arial" w:eastAsia="Calibri" w:hAnsi="Arial" w:cs="Arial"/>
          <w:kern w:val="2"/>
          <w14:ligatures w14:val="standardContextual"/>
        </w:rPr>
        <w:t xml:space="preserve"> is no longer an option </w:t>
      </w:r>
      <w:r w:rsidR="001A5979" w:rsidRPr="00746F54">
        <w:rPr>
          <w:rFonts w:ascii="Arial" w:eastAsia="Calibri" w:hAnsi="Arial" w:cs="Arial"/>
          <w:kern w:val="2"/>
          <w14:ligatures w14:val="standardContextual"/>
        </w:rPr>
        <w:t>for EDAM resources.</w:t>
      </w:r>
    </w:p>
    <w:p w14:paraId="452C33CB" w14:textId="54373649" w:rsidR="00150922" w:rsidRPr="00746F54" w:rsidRDefault="00813EF0" w:rsidP="00150922">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Resource Scheduling Coordinator</w:t>
      </w:r>
      <w:r w:rsidR="009967FA" w:rsidRPr="00746F54">
        <w:rPr>
          <w:rFonts w:ascii="Arial" w:eastAsia="Calibri" w:hAnsi="Arial" w:cs="Arial"/>
          <w:kern w:val="2"/>
          <w14:ligatures w14:val="standardContextual"/>
        </w:rPr>
        <w:t>: Each</w:t>
      </w:r>
      <w:r w:rsidR="00E41D92" w:rsidRPr="00746F54">
        <w:rPr>
          <w:rFonts w:ascii="Arial" w:eastAsia="Calibri" w:hAnsi="Arial" w:cs="Arial"/>
          <w:kern w:val="2"/>
          <w14:ligatures w14:val="standardContextual"/>
        </w:rPr>
        <w:t xml:space="preserve"> EDAM </w:t>
      </w:r>
      <w:r w:rsidR="00804E79">
        <w:rPr>
          <w:rFonts w:ascii="Arial" w:eastAsia="Calibri" w:hAnsi="Arial" w:cs="Arial"/>
          <w:kern w:val="2"/>
          <w14:ligatures w14:val="standardContextual"/>
        </w:rPr>
        <w:t>R</w:t>
      </w:r>
      <w:r w:rsidR="00E41D92" w:rsidRPr="00746F54">
        <w:rPr>
          <w:rFonts w:ascii="Arial" w:eastAsia="Calibri" w:hAnsi="Arial" w:cs="Arial"/>
          <w:kern w:val="2"/>
          <w14:ligatures w14:val="standardContextual"/>
        </w:rPr>
        <w:t>esource must be represented by an EDAM Resource Scheduling Coordinator</w:t>
      </w:r>
      <w:r w:rsidR="004D0723" w:rsidRPr="00746F54">
        <w:rPr>
          <w:rFonts w:ascii="Arial" w:eastAsia="Calibri" w:hAnsi="Arial" w:cs="Arial"/>
          <w:kern w:val="2"/>
          <w14:ligatures w14:val="standardContextual"/>
        </w:rPr>
        <w:t xml:space="preserve">, which may represent multiple EDAM </w:t>
      </w:r>
      <w:r w:rsidR="00CC63A2" w:rsidRPr="00746F54">
        <w:rPr>
          <w:rFonts w:ascii="Arial" w:eastAsia="Calibri" w:hAnsi="Arial" w:cs="Arial"/>
          <w:kern w:val="2"/>
          <w14:ligatures w14:val="standardContextual"/>
        </w:rPr>
        <w:t>r</w:t>
      </w:r>
      <w:r w:rsidR="004D0723" w:rsidRPr="00746F54">
        <w:rPr>
          <w:rFonts w:ascii="Arial" w:eastAsia="Calibri" w:hAnsi="Arial" w:cs="Arial"/>
          <w:kern w:val="2"/>
          <w14:ligatures w14:val="standardContextual"/>
        </w:rPr>
        <w:t xml:space="preserve">esources or </w:t>
      </w:r>
      <w:r w:rsidR="00CC63A2" w:rsidRPr="00746F54">
        <w:rPr>
          <w:rFonts w:ascii="Arial" w:eastAsia="Calibri" w:hAnsi="Arial" w:cs="Arial"/>
          <w:kern w:val="2"/>
          <w14:ligatures w14:val="standardContextual"/>
        </w:rPr>
        <w:t>m</w:t>
      </w:r>
      <w:r w:rsidR="004D0723" w:rsidRPr="00746F54">
        <w:rPr>
          <w:rFonts w:ascii="Arial" w:eastAsia="Calibri" w:hAnsi="Arial" w:cs="Arial"/>
          <w:kern w:val="2"/>
          <w14:ligatures w14:val="standardContextual"/>
        </w:rPr>
        <w:t xml:space="preserve">arket </w:t>
      </w:r>
      <w:r w:rsidR="00CC63A2" w:rsidRPr="00746F54">
        <w:rPr>
          <w:rFonts w:ascii="Arial" w:eastAsia="Calibri" w:hAnsi="Arial" w:cs="Arial"/>
          <w:kern w:val="2"/>
          <w14:ligatures w14:val="standardContextual"/>
        </w:rPr>
        <w:t>p</w:t>
      </w:r>
      <w:r w:rsidR="004D0723" w:rsidRPr="00746F54">
        <w:rPr>
          <w:rFonts w:ascii="Arial" w:eastAsia="Calibri" w:hAnsi="Arial" w:cs="Arial"/>
          <w:kern w:val="2"/>
          <w14:ligatures w14:val="standardContextual"/>
        </w:rPr>
        <w:t>articipants</w:t>
      </w:r>
      <w:r w:rsidR="00E41D92" w:rsidRPr="00746F54">
        <w:rPr>
          <w:rFonts w:ascii="Arial" w:eastAsia="Calibri" w:hAnsi="Arial" w:cs="Arial"/>
          <w:kern w:val="2"/>
          <w14:ligatures w14:val="standardContextual"/>
        </w:rPr>
        <w:t xml:space="preserve">.  The EDAM Resource Scheduling Coordinator is responsible for bidding and </w:t>
      </w:r>
      <w:proofErr w:type="gramStart"/>
      <w:r w:rsidR="00E41D92" w:rsidRPr="00746F54">
        <w:rPr>
          <w:rFonts w:ascii="Arial" w:eastAsia="Calibri" w:hAnsi="Arial" w:cs="Arial"/>
          <w:kern w:val="2"/>
          <w14:ligatures w14:val="standardContextual"/>
        </w:rPr>
        <w:t xml:space="preserve">scheduling </w:t>
      </w:r>
      <w:r w:rsidR="004D0723" w:rsidRPr="00746F54">
        <w:rPr>
          <w:rFonts w:ascii="Arial" w:eastAsia="Calibri" w:hAnsi="Arial" w:cs="Arial"/>
          <w:kern w:val="2"/>
          <w14:ligatures w14:val="standardContextual"/>
        </w:rPr>
        <w:t>of</w:t>
      </w:r>
      <w:proofErr w:type="gramEnd"/>
      <w:r w:rsidR="004D0723" w:rsidRPr="00746F54">
        <w:rPr>
          <w:rFonts w:ascii="Arial" w:eastAsia="Calibri" w:hAnsi="Arial" w:cs="Arial"/>
          <w:kern w:val="2"/>
          <w14:ligatures w14:val="standardContextual"/>
        </w:rPr>
        <w:t xml:space="preserve"> </w:t>
      </w:r>
      <w:r w:rsidR="00E41D92" w:rsidRPr="00746F54">
        <w:rPr>
          <w:rFonts w:ascii="Arial" w:eastAsia="Calibri" w:hAnsi="Arial" w:cs="Arial"/>
          <w:kern w:val="2"/>
          <w14:ligatures w14:val="standardContextual"/>
        </w:rPr>
        <w:t xml:space="preserve">EDAM </w:t>
      </w:r>
      <w:r w:rsidR="00981D6A" w:rsidRPr="00746F54">
        <w:rPr>
          <w:rFonts w:ascii="Arial" w:eastAsia="Calibri" w:hAnsi="Arial" w:cs="Arial"/>
          <w:kern w:val="2"/>
          <w14:ligatures w14:val="standardContextual"/>
        </w:rPr>
        <w:t>Resources</w:t>
      </w:r>
      <w:r w:rsidR="00E41D92" w:rsidRPr="00746F54">
        <w:rPr>
          <w:rFonts w:ascii="Arial" w:eastAsia="Calibri" w:hAnsi="Arial" w:cs="Arial"/>
          <w:kern w:val="2"/>
          <w14:ligatures w14:val="standardContextual"/>
        </w:rPr>
        <w:t xml:space="preserve"> in the Day-Ahead Market and Real-Time Market</w:t>
      </w:r>
      <w:r w:rsidR="004B3B8A" w:rsidRPr="00746F54">
        <w:rPr>
          <w:rFonts w:ascii="Arial" w:eastAsia="Calibri" w:hAnsi="Arial" w:cs="Arial"/>
          <w:kern w:val="2"/>
          <w14:ligatures w14:val="standardContextual"/>
        </w:rPr>
        <w:t>, as well as ensuring that the entity it represents has obtained any necessary transmission service necessary for participation.</w:t>
      </w:r>
      <w:r w:rsidR="00150922" w:rsidRPr="00746F54">
        <w:rPr>
          <w:rFonts w:ascii="Arial" w:eastAsia="Calibri" w:hAnsi="Arial" w:cs="Arial"/>
          <w:kern w:val="2"/>
          <w14:ligatures w14:val="standardContextual"/>
        </w:rPr>
        <w:t xml:space="preserve">  The EDAM Resource Scheduling Coordinator for an EDAM </w:t>
      </w:r>
      <w:r w:rsidR="00CC63A2" w:rsidRPr="00746F54">
        <w:rPr>
          <w:rFonts w:ascii="Arial" w:eastAsia="Calibri" w:hAnsi="Arial" w:cs="Arial"/>
          <w:kern w:val="2"/>
          <w14:ligatures w14:val="standardContextual"/>
        </w:rPr>
        <w:t>e</w:t>
      </w:r>
      <w:r w:rsidR="00150922" w:rsidRPr="00746F54">
        <w:rPr>
          <w:rFonts w:ascii="Arial" w:eastAsia="Calibri" w:hAnsi="Arial" w:cs="Arial"/>
          <w:kern w:val="2"/>
          <w14:ligatures w14:val="standardContextual"/>
        </w:rPr>
        <w:t xml:space="preserve">ntity must be the same as the EIM Resource Scheduling Coordinator to ensure alignment between </w:t>
      </w:r>
      <w:r w:rsidR="00CC63A2" w:rsidRPr="00746F54">
        <w:rPr>
          <w:rFonts w:ascii="Arial" w:eastAsia="Calibri" w:hAnsi="Arial" w:cs="Arial"/>
          <w:kern w:val="2"/>
          <w14:ligatures w14:val="standardContextual"/>
        </w:rPr>
        <w:t xml:space="preserve">the day-ahead and real-time markets. </w:t>
      </w:r>
    </w:p>
    <w:p w14:paraId="5319D914" w14:textId="256B74AF" w:rsidR="00813EF0" w:rsidRPr="00746F54" w:rsidRDefault="00813EF0" w:rsidP="00317FB4">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Load</w:t>
      </w:r>
      <w:r w:rsidR="00CC63A2" w:rsidRPr="00746F54">
        <w:rPr>
          <w:rFonts w:ascii="Arial" w:eastAsia="Calibri" w:hAnsi="Arial" w:cs="Arial"/>
          <w:b/>
          <w:bCs/>
          <w:kern w:val="2"/>
          <w14:ligatures w14:val="standardContextual"/>
        </w:rPr>
        <w:t>-</w:t>
      </w:r>
      <w:r w:rsidRPr="00746F54">
        <w:rPr>
          <w:rFonts w:ascii="Arial" w:eastAsia="Calibri" w:hAnsi="Arial" w:cs="Arial"/>
          <w:b/>
          <w:bCs/>
          <w:kern w:val="2"/>
          <w14:ligatures w14:val="standardContextual"/>
        </w:rPr>
        <w:t>Serving Entity</w:t>
      </w:r>
      <w:r w:rsidRPr="00746F54">
        <w:rPr>
          <w:rFonts w:ascii="Arial" w:eastAsia="Calibri" w:hAnsi="Arial" w:cs="Arial"/>
          <w:kern w:val="2"/>
          <w14:ligatures w14:val="standardContextual"/>
        </w:rPr>
        <w:t>:</w:t>
      </w:r>
      <w:r w:rsidR="00B76E7E" w:rsidRPr="00746F54">
        <w:rPr>
          <w:rFonts w:ascii="Arial" w:eastAsia="Calibri" w:hAnsi="Arial" w:cs="Arial"/>
          <w:kern w:val="2"/>
          <w14:ligatures w14:val="standardContextual"/>
        </w:rPr>
        <w:t xml:space="preserve"> The EDAM Load</w:t>
      </w:r>
      <w:r w:rsidR="00CC63A2" w:rsidRPr="00746F54">
        <w:rPr>
          <w:rFonts w:ascii="Arial" w:eastAsia="Calibri" w:hAnsi="Arial" w:cs="Arial"/>
          <w:kern w:val="2"/>
          <w14:ligatures w14:val="standardContextual"/>
        </w:rPr>
        <w:t>-</w:t>
      </w:r>
      <w:r w:rsidR="00B76E7E" w:rsidRPr="00746F54">
        <w:rPr>
          <w:rFonts w:ascii="Arial" w:eastAsia="Calibri" w:hAnsi="Arial" w:cs="Arial"/>
          <w:kern w:val="2"/>
          <w14:ligatures w14:val="standardContextual"/>
        </w:rPr>
        <w:t xml:space="preserve">Serving Entity is responsible for </w:t>
      </w:r>
      <w:r w:rsidR="00CC63A2" w:rsidRPr="00746F54">
        <w:rPr>
          <w:rFonts w:ascii="Arial" w:eastAsia="Calibri" w:hAnsi="Arial" w:cs="Arial"/>
          <w:kern w:val="2"/>
          <w14:ligatures w14:val="standardContextual"/>
        </w:rPr>
        <w:t>l</w:t>
      </w:r>
      <w:r w:rsidR="004A134E" w:rsidRPr="00746F54">
        <w:rPr>
          <w:rFonts w:ascii="Arial" w:eastAsia="Calibri" w:hAnsi="Arial" w:cs="Arial"/>
          <w:kern w:val="2"/>
          <w14:ligatures w14:val="standardContextual"/>
        </w:rPr>
        <w:t xml:space="preserve">oad </w:t>
      </w:r>
      <w:r w:rsidR="00B76E7E" w:rsidRPr="00746F54">
        <w:rPr>
          <w:rFonts w:ascii="Arial" w:eastAsia="Calibri" w:hAnsi="Arial" w:cs="Arial"/>
          <w:kern w:val="2"/>
          <w14:ligatures w14:val="standardContextual"/>
        </w:rPr>
        <w:t xml:space="preserve">in the Day-Ahead and Real-Time </w:t>
      </w:r>
      <w:r w:rsidR="00804E79">
        <w:rPr>
          <w:rFonts w:ascii="Arial" w:eastAsia="Calibri" w:hAnsi="Arial" w:cs="Arial"/>
          <w:kern w:val="2"/>
          <w14:ligatures w14:val="standardContextual"/>
        </w:rPr>
        <w:t>M</w:t>
      </w:r>
      <w:r w:rsidR="00B76E7E" w:rsidRPr="00746F54">
        <w:rPr>
          <w:rFonts w:ascii="Arial" w:eastAsia="Calibri" w:hAnsi="Arial" w:cs="Arial"/>
          <w:kern w:val="2"/>
          <w14:ligatures w14:val="standardContextual"/>
        </w:rPr>
        <w:t>arkets.  The EDAM Load</w:t>
      </w:r>
      <w:r w:rsidR="00CC63A2" w:rsidRPr="00746F54">
        <w:rPr>
          <w:rFonts w:ascii="Arial" w:eastAsia="Calibri" w:hAnsi="Arial" w:cs="Arial"/>
          <w:kern w:val="2"/>
          <w14:ligatures w14:val="standardContextual"/>
        </w:rPr>
        <w:t>-</w:t>
      </w:r>
      <w:r w:rsidR="00B76E7E" w:rsidRPr="00746F54">
        <w:rPr>
          <w:rFonts w:ascii="Arial" w:eastAsia="Calibri" w:hAnsi="Arial" w:cs="Arial"/>
          <w:kern w:val="2"/>
          <w14:ligatures w14:val="standardContextual"/>
        </w:rPr>
        <w:t>Serving Entity must be represented by an EDAM Load</w:t>
      </w:r>
      <w:r w:rsidR="00CC63A2" w:rsidRPr="00746F54">
        <w:rPr>
          <w:rFonts w:ascii="Arial" w:eastAsia="Calibri" w:hAnsi="Arial" w:cs="Arial"/>
          <w:kern w:val="2"/>
          <w14:ligatures w14:val="standardContextual"/>
        </w:rPr>
        <w:t>-</w:t>
      </w:r>
      <w:r w:rsidR="00B76E7E" w:rsidRPr="00746F54">
        <w:rPr>
          <w:rFonts w:ascii="Arial" w:eastAsia="Calibri" w:hAnsi="Arial" w:cs="Arial"/>
          <w:kern w:val="2"/>
          <w14:ligatures w14:val="standardContextual"/>
        </w:rPr>
        <w:t xml:space="preserve">Serving Entity Scheduling Coordinator. </w:t>
      </w:r>
    </w:p>
    <w:p w14:paraId="7110DC66" w14:textId="266827FB" w:rsidR="00804E79" w:rsidRDefault="00813EF0" w:rsidP="003E69AF">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Load</w:t>
      </w:r>
      <w:r w:rsidR="00CC63A2" w:rsidRPr="00746F54">
        <w:rPr>
          <w:rFonts w:ascii="Arial" w:eastAsia="Calibri" w:hAnsi="Arial" w:cs="Arial"/>
          <w:b/>
          <w:bCs/>
          <w:kern w:val="2"/>
          <w14:ligatures w14:val="standardContextual"/>
        </w:rPr>
        <w:t>-</w:t>
      </w:r>
      <w:r w:rsidRPr="00746F54">
        <w:rPr>
          <w:rFonts w:ascii="Arial" w:eastAsia="Calibri" w:hAnsi="Arial" w:cs="Arial"/>
          <w:b/>
          <w:bCs/>
          <w:kern w:val="2"/>
          <w14:ligatures w14:val="standardContextual"/>
        </w:rPr>
        <w:t>Serving Entity Scheduling Coordinator</w:t>
      </w:r>
      <w:r w:rsidRPr="00746F54">
        <w:rPr>
          <w:rFonts w:ascii="Arial" w:eastAsia="Calibri" w:hAnsi="Arial" w:cs="Arial"/>
          <w:kern w:val="2"/>
          <w14:ligatures w14:val="standardContextual"/>
        </w:rPr>
        <w:t>:</w:t>
      </w:r>
      <w:r w:rsidR="00B76E7E" w:rsidRPr="00746F54">
        <w:rPr>
          <w:rFonts w:ascii="Arial" w:eastAsia="Calibri" w:hAnsi="Arial" w:cs="Arial"/>
          <w:kern w:val="2"/>
          <w14:ligatures w14:val="standardContextual"/>
        </w:rPr>
        <w:t xml:space="preserve"> </w:t>
      </w:r>
      <w:r w:rsidR="007F51E1" w:rsidRPr="00746F54">
        <w:rPr>
          <w:rFonts w:ascii="Arial" w:eastAsia="Calibri" w:hAnsi="Arial" w:cs="Arial"/>
          <w:kern w:val="2"/>
          <w14:ligatures w14:val="standardContextual"/>
        </w:rPr>
        <w:t>Each EDAM Load</w:t>
      </w:r>
      <w:r w:rsidR="00CC63A2" w:rsidRPr="00746F54">
        <w:rPr>
          <w:rFonts w:ascii="Arial" w:eastAsia="Calibri" w:hAnsi="Arial" w:cs="Arial"/>
          <w:kern w:val="2"/>
          <w14:ligatures w14:val="standardContextual"/>
        </w:rPr>
        <w:t>-</w:t>
      </w:r>
      <w:r w:rsidR="007F51E1" w:rsidRPr="00746F54">
        <w:rPr>
          <w:rFonts w:ascii="Arial" w:eastAsia="Calibri" w:hAnsi="Arial" w:cs="Arial"/>
          <w:kern w:val="2"/>
          <w14:ligatures w14:val="standardContextual"/>
        </w:rPr>
        <w:t>Serving Entity must be represented by an EDAM Load</w:t>
      </w:r>
      <w:r w:rsidR="00CC63A2" w:rsidRPr="00746F54">
        <w:rPr>
          <w:rFonts w:ascii="Arial" w:eastAsia="Calibri" w:hAnsi="Arial" w:cs="Arial"/>
          <w:kern w:val="2"/>
          <w14:ligatures w14:val="standardContextual"/>
        </w:rPr>
        <w:t>-</w:t>
      </w:r>
      <w:r w:rsidR="007F51E1" w:rsidRPr="00746F54">
        <w:rPr>
          <w:rFonts w:ascii="Arial" w:eastAsia="Calibri" w:hAnsi="Arial" w:cs="Arial"/>
          <w:kern w:val="2"/>
          <w14:ligatures w14:val="standardContextual"/>
        </w:rPr>
        <w:t>Serving Entity Scheduling Coordinator, which may represent multiple EDAM Load</w:t>
      </w:r>
      <w:r w:rsidR="00CC63A2" w:rsidRPr="00746F54">
        <w:rPr>
          <w:rFonts w:ascii="Arial" w:eastAsia="Calibri" w:hAnsi="Arial" w:cs="Arial"/>
          <w:kern w:val="2"/>
          <w14:ligatures w14:val="standardContextual"/>
        </w:rPr>
        <w:t>-</w:t>
      </w:r>
      <w:r w:rsidR="007F51E1" w:rsidRPr="00746F54">
        <w:rPr>
          <w:rFonts w:ascii="Arial" w:eastAsia="Calibri" w:hAnsi="Arial" w:cs="Arial"/>
          <w:kern w:val="2"/>
          <w14:ligatures w14:val="standardContextual"/>
        </w:rPr>
        <w:t xml:space="preserve">Serving </w:t>
      </w:r>
      <w:r w:rsidR="00CC63A2" w:rsidRPr="00746F54">
        <w:rPr>
          <w:rFonts w:ascii="Arial" w:eastAsia="Calibri" w:hAnsi="Arial" w:cs="Arial"/>
          <w:kern w:val="2"/>
          <w14:ligatures w14:val="standardContextual"/>
        </w:rPr>
        <w:t>e</w:t>
      </w:r>
      <w:r w:rsidR="007F51E1" w:rsidRPr="00746F54">
        <w:rPr>
          <w:rFonts w:ascii="Arial" w:eastAsia="Calibri" w:hAnsi="Arial" w:cs="Arial"/>
          <w:kern w:val="2"/>
          <w14:ligatures w14:val="standardContextual"/>
        </w:rPr>
        <w:t xml:space="preserve">ntities or </w:t>
      </w:r>
      <w:r w:rsidR="00CC63A2" w:rsidRPr="00746F54">
        <w:rPr>
          <w:rFonts w:ascii="Arial" w:eastAsia="Calibri" w:hAnsi="Arial" w:cs="Arial"/>
          <w:kern w:val="2"/>
          <w14:ligatures w14:val="standardContextual"/>
        </w:rPr>
        <w:t>m</w:t>
      </w:r>
      <w:r w:rsidR="007F51E1" w:rsidRPr="00746F54">
        <w:rPr>
          <w:rFonts w:ascii="Arial" w:eastAsia="Calibri" w:hAnsi="Arial" w:cs="Arial"/>
          <w:kern w:val="2"/>
          <w14:ligatures w14:val="standardContextual"/>
        </w:rPr>
        <w:t xml:space="preserve">arket </w:t>
      </w:r>
      <w:r w:rsidR="00CC63A2" w:rsidRPr="00746F54">
        <w:rPr>
          <w:rFonts w:ascii="Arial" w:eastAsia="Calibri" w:hAnsi="Arial" w:cs="Arial"/>
          <w:kern w:val="2"/>
          <w14:ligatures w14:val="standardContextual"/>
        </w:rPr>
        <w:t>p</w:t>
      </w:r>
      <w:r w:rsidR="007F51E1" w:rsidRPr="00746F54">
        <w:rPr>
          <w:rFonts w:ascii="Arial" w:eastAsia="Calibri" w:hAnsi="Arial" w:cs="Arial"/>
          <w:kern w:val="2"/>
          <w14:ligatures w14:val="standardContextual"/>
        </w:rPr>
        <w:t>articipants.  The EDAM Loa</w:t>
      </w:r>
      <w:r w:rsidR="00AE6EA7" w:rsidRPr="00746F54">
        <w:rPr>
          <w:rFonts w:ascii="Arial" w:eastAsia="Calibri" w:hAnsi="Arial" w:cs="Arial"/>
          <w:kern w:val="2"/>
          <w14:ligatures w14:val="standardContextual"/>
        </w:rPr>
        <w:t xml:space="preserve">d </w:t>
      </w:r>
      <w:r w:rsidR="007F51E1" w:rsidRPr="00746F54">
        <w:rPr>
          <w:rFonts w:ascii="Arial" w:eastAsia="Calibri" w:hAnsi="Arial" w:cs="Arial"/>
          <w:kern w:val="2"/>
          <w14:ligatures w14:val="standardContextual"/>
        </w:rPr>
        <w:t xml:space="preserve">Serving Entity Scheduling Coordinator is responsible for bidding and scheduling of EDAM </w:t>
      </w:r>
      <w:r w:rsidR="00CC63A2" w:rsidRPr="00746F54">
        <w:rPr>
          <w:rFonts w:ascii="Arial" w:eastAsia="Calibri" w:hAnsi="Arial" w:cs="Arial"/>
          <w:kern w:val="2"/>
          <w14:ligatures w14:val="standardContextual"/>
        </w:rPr>
        <w:t>d</w:t>
      </w:r>
      <w:r w:rsidR="007F51E1" w:rsidRPr="00746F54">
        <w:rPr>
          <w:rFonts w:ascii="Arial" w:eastAsia="Calibri" w:hAnsi="Arial" w:cs="Arial"/>
          <w:kern w:val="2"/>
          <w14:ligatures w14:val="standardContextual"/>
        </w:rPr>
        <w:t>emand in the Day-Ahead Market and Real-Time Market, as well as ensuring that the entity it represents has obtained any necessary transmission service n</w:t>
      </w:r>
      <w:r w:rsidR="00CC63A2" w:rsidRPr="00746F54">
        <w:rPr>
          <w:rFonts w:ascii="Arial" w:eastAsia="Calibri" w:hAnsi="Arial" w:cs="Arial"/>
          <w:kern w:val="2"/>
          <w14:ligatures w14:val="standardContextual"/>
        </w:rPr>
        <w:t>eeded</w:t>
      </w:r>
      <w:r w:rsidR="00C03530" w:rsidRPr="00746F54">
        <w:rPr>
          <w:rFonts w:ascii="Arial" w:eastAsia="Calibri" w:hAnsi="Arial" w:cs="Arial"/>
          <w:kern w:val="2"/>
          <w14:ligatures w14:val="standardContextual"/>
        </w:rPr>
        <w:t xml:space="preserve"> </w:t>
      </w:r>
      <w:r w:rsidR="007F51E1" w:rsidRPr="00746F54">
        <w:rPr>
          <w:rFonts w:ascii="Arial" w:eastAsia="Calibri" w:hAnsi="Arial" w:cs="Arial"/>
          <w:kern w:val="2"/>
          <w14:ligatures w14:val="standardContextual"/>
        </w:rPr>
        <w:t>for participation.</w:t>
      </w:r>
      <w:r w:rsidR="00150922" w:rsidRPr="00746F54">
        <w:rPr>
          <w:rFonts w:ascii="Arial" w:eastAsia="Calibri" w:hAnsi="Arial" w:cs="Arial"/>
          <w:kern w:val="2"/>
          <w14:ligatures w14:val="standardContextual"/>
        </w:rPr>
        <w:t xml:space="preserve">  The EDAM Load</w:t>
      </w:r>
      <w:r w:rsidR="00CC63A2" w:rsidRPr="00746F54">
        <w:rPr>
          <w:rFonts w:ascii="Arial" w:eastAsia="Calibri" w:hAnsi="Arial" w:cs="Arial"/>
          <w:kern w:val="2"/>
          <w14:ligatures w14:val="standardContextual"/>
        </w:rPr>
        <w:t>-</w:t>
      </w:r>
      <w:r w:rsidR="00150922" w:rsidRPr="00746F54">
        <w:rPr>
          <w:rFonts w:ascii="Arial" w:eastAsia="Calibri" w:hAnsi="Arial" w:cs="Arial"/>
          <w:kern w:val="2"/>
          <w14:ligatures w14:val="standardContextual"/>
        </w:rPr>
        <w:t xml:space="preserve">Serving Entity Scheduling Coordinator for an EDAM Entity must be the same as the EIM Load </w:t>
      </w:r>
      <w:r w:rsidR="00150922" w:rsidRPr="00746F54">
        <w:rPr>
          <w:rFonts w:ascii="Arial" w:eastAsia="Calibri" w:hAnsi="Arial" w:cs="Arial"/>
          <w:kern w:val="2"/>
          <w14:ligatures w14:val="standardContextual"/>
        </w:rPr>
        <w:lastRenderedPageBreak/>
        <w:t xml:space="preserve">Serving Entity Scheduling Coordinator to ensure alignment between </w:t>
      </w:r>
      <w:r w:rsidR="00804E79">
        <w:rPr>
          <w:rFonts w:ascii="Arial" w:eastAsia="Calibri" w:hAnsi="Arial" w:cs="Arial"/>
          <w:kern w:val="2"/>
          <w14:ligatures w14:val="standardContextual"/>
        </w:rPr>
        <w:t>the Day-Ahead and Real-Time Markets.</w:t>
      </w:r>
    </w:p>
    <w:p w14:paraId="0C39C6F9" w14:textId="1BFE1BA0" w:rsidR="00317FB4" w:rsidRPr="00746F54" w:rsidRDefault="00813EF0" w:rsidP="003E69AF">
      <w:pPr>
        <w:spacing w:after="240" w:line="300" w:lineRule="auto"/>
        <w:rPr>
          <w:rFonts w:ascii="Arial" w:eastAsia="Calibri" w:hAnsi="Arial" w:cs="Arial"/>
          <w:kern w:val="2"/>
          <w14:ligatures w14:val="standardContextual"/>
        </w:rPr>
      </w:pPr>
      <w:r w:rsidRPr="00746F54">
        <w:rPr>
          <w:rFonts w:ascii="Arial" w:eastAsia="Calibri" w:hAnsi="Arial" w:cs="Arial"/>
          <w:b/>
          <w:bCs/>
          <w:kern w:val="2"/>
          <w14:ligatures w14:val="standardContextual"/>
        </w:rPr>
        <w:t>EDAM Transmission Service Provider</w:t>
      </w:r>
      <w:r w:rsidR="009967FA" w:rsidRPr="00746F54">
        <w:rPr>
          <w:rFonts w:ascii="Arial" w:eastAsia="Calibri" w:hAnsi="Arial" w:cs="Arial"/>
          <w:kern w:val="2"/>
          <w14:ligatures w14:val="standardContextual"/>
        </w:rPr>
        <w:t>: An</w:t>
      </w:r>
      <w:r w:rsidR="003E69AF" w:rsidRPr="00746F54">
        <w:rPr>
          <w:rFonts w:ascii="Arial" w:eastAsia="Calibri" w:hAnsi="Arial" w:cs="Arial"/>
          <w:kern w:val="2"/>
          <w14:ligatures w14:val="standardContextual"/>
        </w:rPr>
        <w:t xml:space="preserve"> E</w:t>
      </w:r>
      <w:r w:rsidR="00D35EF7">
        <w:rPr>
          <w:rFonts w:ascii="Arial" w:eastAsia="Calibri" w:hAnsi="Arial" w:cs="Arial"/>
          <w:kern w:val="2"/>
          <w14:ligatures w14:val="standardContextual"/>
        </w:rPr>
        <w:t>DA</w:t>
      </w:r>
      <w:r w:rsidR="003E69AF" w:rsidRPr="00746F54">
        <w:rPr>
          <w:rFonts w:ascii="Arial" w:eastAsia="Calibri" w:hAnsi="Arial" w:cs="Arial"/>
          <w:kern w:val="2"/>
          <w14:ligatures w14:val="standardContextual"/>
        </w:rPr>
        <w:t xml:space="preserve">M </w:t>
      </w:r>
      <w:r w:rsidR="00CC63A2" w:rsidRPr="00746F54">
        <w:rPr>
          <w:rFonts w:ascii="Arial" w:eastAsia="Calibri" w:hAnsi="Arial" w:cs="Arial"/>
          <w:kern w:val="2"/>
          <w14:ligatures w14:val="standardContextual"/>
        </w:rPr>
        <w:t>e</w:t>
      </w:r>
      <w:r w:rsidR="003E69AF" w:rsidRPr="00746F54">
        <w:rPr>
          <w:rFonts w:ascii="Arial" w:eastAsia="Calibri" w:hAnsi="Arial" w:cs="Arial"/>
          <w:kern w:val="2"/>
          <w14:ligatures w14:val="standardContextual"/>
        </w:rPr>
        <w:t>ntity, or E</w:t>
      </w:r>
      <w:r w:rsidR="00D35EF7">
        <w:rPr>
          <w:rFonts w:ascii="Arial" w:eastAsia="Calibri" w:hAnsi="Arial" w:cs="Arial"/>
          <w:kern w:val="2"/>
          <w14:ligatures w14:val="standardContextual"/>
        </w:rPr>
        <w:t>DA</w:t>
      </w:r>
      <w:r w:rsidR="003E69AF" w:rsidRPr="00746F54">
        <w:rPr>
          <w:rFonts w:ascii="Arial" w:eastAsia="Calibri" w:hAnsi="Arial" w:cs="Arial"/>
          <w:kern w:val="2"/>
          <w14:ligatures w14:val="standardContextual"/>
        </w:rPr>
        <w:t xml:space="preserve">M </w:t>
      </w:r>
      <w:r w:rsidR="00CC63A2" w:rsidRPr="00746F54">
        <w:rPr>
          <w:rFonts w:ascii="Arial" w:eastAsia="Calibri" w:hAnsi="Arial" w:cs="Arial"/>
          <w:kern w:val="2"/>
          <w14:ligatures w14:val="standardContextual"/>
        </w:rPr>
        <w:t>s</w:t>
      </w:r>
      <w:r w:rsidR="003E69AF" w:rsidRPr="00746F54">
        <w:rPr>
          <w:rFonts w:ascii="Arial" w:eastAsia="Calibri" w:hAnsi="Arial" w:cs="Arial"/>
          <w:kern w:val="2"/>
          <w14:ligatures w14:val="standardContextual"/>
        </w:rPr>
        <w:t>ub-</w:t>
      </w:r>
      <w:r w:rsidR="00CC63A2" w:rsidRPr="00746F54">
        <w:rPr>
          <w:rFonts w:ascii="Arial" w:eastAsia="Calibri" w:hAnsi="Arial" w:cs="Arial"/>
          <w:kern w:val="2"/>
          <w14:ligatures w14:val="standardContextual"/>
        </w:rPr>
        <w:t>entity</w:t>
      </w:r>
      <w:r w:rsidR="003E69AF" w:rsidRPr="00746F54">
        <w:rPr>
          <w:rFonts w:ascii="Arial" w:eastAsia="Calibri" w:hAnsi="Arial" w:cs="Arial"/>
          <w:kern w:val="2"/>
          <w14:ligatures w14:val="standardContextual"/>
        </w:rPr>
        <w:t xml:space="preserve"> or third party that owns transmission or has transmission service rights on an EIM Intertie that makes transmission service available for use in the Day-Time Market through an EDAM Entity. </w:t>
      </w:r>
      <w:r w:rsidR="00327065" w:rsidRPr="00746F54">
        <w:rPr>
          <w:rFonts w:ascii="Arial" w:eastAsia="Calibri" w:hAnsi="Arial" w:cs="Arial"/>
          <w:kern w:val="2"/>
          <w14:ligatures w14:val="standardContextual"/>
        </w:rPr>
        <w:t>The EDAM Transmission Service Provider manages transmission sales, reservations, and schedules on its transmission system.</w:t>
      </w:r>
    </w:p>
    <w:p w14:paraId="0276FF55" w14:textId="2687E43A" w:rsidR="00A564E0" w:rsidRPr="00746F54" w:rsidRDefault="00EB464D" w:rsidP="003E69AF">
      <w:pPr>
        <w:spacing w:after="240" w:line="300" w:lineRule="auto"/>
        <w:rPr>
          <w:rFonts w:ascii="Arial" w:hAnsi="Arial" w:cs="Arial"/>
        </w:rPr>
      </w:pPr>
      <w:r w:rsidRPr="00746F54">
        <w:rPr>
          <w:rFonts w:ascii="Arial" w:eastAsia="Calibri" w:hAnsi="Arial" w:cs="Arial"/>
          <w:b/>
          <w:bCs/>
          <w:kern w:val="2"/>
          <w14:ligatures w14:val="standardContextual"/>
        </w:rPr>
        <w:t>Integrated Balancing Authority Areas</w:t>
      </w:r>
      <w:r w:rsidRPr="00746F54">
        <w:rPr>
          <w:rFonts w:ascii="Arial" w:eastAsia="Calibri" w:hAnsi="Arial" w:cs="Arial"/>
          <w:kern w:val="2"/>
          <w14:ligatures w14:val="standardContextual"/>
        </w:rPr>
        <w:t xml:space="preserve"> (“IBAAs”) are those Balancing Authority Areas that are not part of the CAISO but are closely interconnected/integrated with</w:t>
      </w:r>
      <w:r w:rsidR="00EB4505">
        <w:rPr>
          <w:rFonts w:ascii="Arial" w:eastAsia="Calibri" w:hAnsi="Arial" w:cs="Arial"/>
          <w:kern w:val="2"/>
          <w14:ligatures w14:val="standardContextual"/>
        </w:rPr>
        <w:t>in</w:t>
      </w:r>
      <w:r w:rsidRPr="00746F54">
        <w:rPr>
          <w:rFonts w:ascii="Arial" w:eastAsia="Calibri" w:hAnsi="Arial" w:cs="Arial"/>
          <w:kern w:val="2"/>
          <w14:ligatures w14:val="standardContextual"/>
        </w:rPr>
        <w:t xml:space="preserve"> the EDAM Full Network Model through multiple free-flowing AC interconnections.  While power flows on an IBAA’s system can result in parallel flows and otherwise more complex interactions with the EDAM solution, IBAAs do not apply to BAAs that join EDAM.  EDAM </w:t>
      </w:r>
      <w:r w:rsidR="00EB4505">
        <w:rPr>
          <w:rFonts w:ascii="Arial" w:eastAsia="Calibri" w:hAnsi="Arial" w:cs="Arial"/>
          <w:kern w:val="2"/>
          <w14:ligatures w14:val="standardContextual"/>
        </w:rPr>
        <w:t>will</w:t>
      </w:r>
      <w:r w:rsidR="00EB4505" w:rsidRPr="00746F54">
        <w:rPr>
          <w:rFonts w:ascii="Arial" w:eastAsia="Calibri" w:hAnsi="Arial" w:cs="Arial"/>
          <w:kern w:val="2"/>
          <w14:ligatures w14:val="standardContextual"/>
        </w:rPr>
        <w:t xml:space="preserve"> </w:t>
      </w:r>
      <w:r w:rsidRPr="00746F54">
        <w:rPr>
          <w:rFonts w:ascii="Arial" w:eastAsia="Calibri" w:hAnsi="Arial" w:cs="Arial"/>
          <w:kern w:val="2"/>
          <w14:ligatures w14:val="standardContextual"/>
        </w:rPr>
        <w:t>model and capture the effect of power flows internal to the IBAAs’ systems in the same manner as WEIM by utilizing a network model to represent flows within the IBAA, adding market resources to the model of the IBAA, mapping the Intertie Schedules to System Resources, and using distribution factors to attribute schedules submitted at the intertie points.  For more information on IBAA’s, refer to the Balancing Authority Area section of the Market Operations BPM.</w:t>
      </w:r>
    </w:p>
    <w:p w14:paraId="259D5775" w14:textId="140BB4A0" w:rsidR="006C4447" w:rsidRPr="00746F54" w:rsidRDefault="006C4447" w:rsidP="006C4447">
      <w:pPr>
        <w:pStyle w:val="Heading2"/>
        <w:rPr>
          <w:rFonts w:ascii="Arial" w:hAnsi="Arial" w:cs="Arial"/>
        </w:rPr>
      </w:pPr>
      <w:bookmarkStart w:id="36" w:name="_Toc211337870"/>
      <w:bookmarkStart w:id="37" w:name="_Hlk209771762"/>
      <w:bookmarkStart w:id="38" w:name="_Toc228963680"/>
      <w:r w:rsidRPr="00746F54">
        <w:rPr>
          <w:rFonts w:ascii="Arial" w:hAnsi="Arial" w:cs="Arial"/>
        </w:rPr>
        <w:t>Communication Provisions of ISO Tariff in EDAM</w:t>
      </w:r>
      <w:bookmarkEnd w:id="36"/>
      <w:bookmarkEnd w:id="38"/>
      <w:r w:rsidRPr="00746F54">
        <w:rPr>
          <w:rFonts w:ascii="Arial" w:hAnsi="Arial" w:cs="Arial"/>
        </w:rPr>
        <w:t xml:space="preserve"> </w:t>
      </w:r>
    </w:p>
    <w:p w14:paraId="239D26ED" w14:textId="18329F78" w:rsidR="006C4447" w:rsidRPr="00746F54" w:rsidRDefault="006C4447" w:rsidP="006C4447">
      <w:pPr>
        <w:pStyle w:val="ParaText"/>
        <w:rPr>
          <w:rFonts w:ascii="Arial" w:hAnsi="Arial" w:cs="Arial"/>
          <w:u w:val="single"/>
        </w:rPr>
      </w:pPr>
      <w:r w:rsidRPr="00746F54">
        <w:rPr>
          <w:rFonts w:ascii="Arial" w:hAnsi="Arial" w:cs="Arial"/>
          <w:u w:val="single"/>
        </w:rPr>
        <w:t xml:space="preserve">Reference </w:t>
      </w:r>
      <w:r w:rsidR="00220660" w:rsidRPr="00746F54">
        <w:rPr>
          <w:rFonts w:ascii="Arial" w:hAnsi="Arial" w:cs="Arial"/>
          <w:u w:val="single"/>
        </w:rPr>
        <w:t>tariff s</w:t>
      </w:r>
      <w:r w:rsidRPr="00746F54">
        <w:rPr>
          <w:rFonts w:ascii="Arial" w:hAnsi="Arial" w:cs="Arial"/>
          <w:u w:val="single"/>
        </w:rPr>
        <w:t>ection</w:t>
      </w:r>
      <w:r w:rsidR="00220660" w:rsidRPr="00746F54">
        <w:rPr>
          <w:rFonts w:ascii="Arial" w:hAnsi="Arial" w:cs="Arial"/>
          <w:u w:val="single"/>
        </w:rPr>
        <w:t xml:space="preserve"> 6 and</w:t>
      </w:r>
      <w:r w:rsidRPr="00746F54">
        <w:rPr>
          <w:rFonts w:ascii="Arial" w:hAnsi="Arial" w:cs="Arial"/>
          <w:u w:val="single"/>
        </w:rPr>
        <w:t xml:space="preserve"> 33.6</w:t>
      </w:r>
    </w:p>
    <w:bookmarkEnd w:id="37"/>
    <w:p w14:paraId="1A01C709" w14:textId="03D91875" w:rsidR="006C4447" w:rsidRPr="00746F54" w:rsidRDefault="006C4447" w:rsidP="006C4447">
      <w:pPr>
        <w:pStyle w:val="ParaText"/>
        <w:rPr>
          <w:rFonts w:ascii="Arial" w:hAnsi="Arial" w:cs="Arial"/>
        </w:rPr>
      </w:pPr>
      <w:r w:rsidRPr="00746F54">
        <w:rPr>
          <w:rFonts w:ascii="Arial" w:hAnsi="Arial" w:cs="Arial"/>
        </w:rPr>
        <w:t xml:space="preserve">The provisions of Section 6 of the ISO Tariff, and associated implementing business practice manuals, will apply to EDAM Participants.  </w:t>
      </w:r>
    </w:p>
    <w:p w14:paraId="3406198D" w14:textId="6F17E3D9" w:rsidR="006C4447" w:rsidRPr="00746F54" w:rsidRDefault="006C4447" w:rsidP="006C4447">
      <w:pPr>
        <w:pStyle w:val="Heading3"/>
        <w:rPr>
          <w:rFonts w:ascii="Arial" w:hAnsi="Arial" w:cs="Arial"/>
        </w:rPr>
      </w:pPr>
      <w:bookmarkStart w:id="39" w:name="_Toc211337871"/>
      <w:r w:rsidRPr="00746F54">
        <w:rPr>
          <w:rFonts w:ascii="Arial" w:hAnsi="Arial" w:cs="Arial"/>
        </w:rPr>
        <w:t>Technical Requirements</w:t>
      </w:r>
      <w:bookmarkEnd w:id="39"/>
    </w:p>
    <w:p w14:paraId="72499E12" w14:textId="6675C970" w:rsidR="006C4447" w:rsidRPr="00746F54" w:rsidRDefault="006C4447" w:rsidP="006C4447">
      <w:pPr>
        <w:pStyle w:val="ParaText"/>
        <w:rPr>
          <w:rFonts w:ascii="Arial" w:hAnsi="Arial" w:cs="Arial"/>
          <w:u w:val="single"/>
        </w:rPr>
      </w:pPr>
      <w:r w:rsidRPr="00746F54">
        <w:rPr>
          <w:rFonts w:ascii="Arial" w:hAnsi="Arial" w:cs="Arial"/>
          <w:u w:val="single"/>
        </w:rPr>
        <w:t>Reference Section 33.6.1</w:t>
      </w:r>
    </w:p>
    <w:p w14:paraId="01C6A885" w14:textId="7C430707" w:rsidR="00562C57" w:rsidRPr="00746F54" w:rsidRDefault="006C4447" w:rsidP="00960498">
      <w:pPr>
        <w:pStyle w:val="ParaText"/>
        <w:rPr>
          <w:rFonts w:ascii="Arial" w:hAnsi="Arial" w:cs="Arial"/>
        </w:rPr>
      </w:pPr>
      <w:r w:rsidRPr="00746F54">
        <w:rPr>
          <w:rFonts w:ascii="Arial" w:hAnsi="Arial" w:cs="Arial"/>
        </w:rPr>
        <w:t xml:space="preserve">The EDAM </w:t>
      </w:r>
      <w:r w:rsidR="00CC63A2" w:rsidRPr="00746F54">
        <w:rPr>
          <w:rFonts w:ascii="Arial" w:hAnsi="Arial" w:cs="Arial"/>
        </w:rPr>
        <w:t>e</w:t>
      </w:r>
      <w:r w:rsidRPr="00746F54">
        <w:rPr>
          <w:rFonts w:ascii="Arial" w:hAnsi="Arial" w:cs="Arial"/>
        </w:rPr>
        <w:t xml:space="preserve">ntity must satisfy the technical and communication requirements specified in the Business Practice Manual for the Extended Day-Ahead Market, which will be based on </w:t>
      </w:r>
      <w:r w:rsidR="00960498" w:rsidRPr="00746F54">
        <w:rPr>
          <w:rFonts w:ascii="Arial" w:hAnsi="Arial" w:cs="Arial"/>
        </w:rPr>
        <w:t xml:space="preserve">several technologies not limited to </w:t>
      </w:r>
      <w:r w:rsidRPr="00746F54">
        <w:rPr>
          <w:rFonts w:ascii="Arial" w:hAnsi="Arial" w:cs="Arial"/>
        </w:rPr>
        <w:t>the Inter</w:t>
      </w:r>
      <w:r w:rsidR="006D7F00" w:rsidRPr="00746F54">
        <w:rPr>
          <w:rFonts w:ascii="Arial" w:hAnsi="Arial" w:cs="Arial"/>
        </w:rPr>
        <w:t xml:space="preserve"> </w:t>
      </w:r>
      <w:r w:rsidRPr="00746F54">
        <w:rPr>
          <w:rFonts w:ascii="Arial" w:hAnsi="Arial" w:cs="Arial"/>
        </w:rPr>
        <w:t xml:space="preserve">Control Center Communication Protocol </w:t>
      </w:r>
      <w:r w:rsidR="006D7F00" w:rsidRPr="00746F54">
        <w:rPr>
          <w:rFonts w:ascii="Arial" w:hAnsi="Arial" w:cs="Arial"/>
        </w:rPr>
        <w:t xml:space="preserve">(ICCP) </w:t>
      </w:r>
      <w:r w:rsidRPr="00746F54">
        <w:rPr>
          <w:rFonts w:ascii="Arial" w:hAnsi="Arial" w:cs="Arial"/>
        </w:rPr>
        <w:t>and Reliability Standards.</w:t>
      </w:r>
      <w:r w:rsidR="00960498" w:rsidRPr="00746F54">
        <w:rPr>
          <w:rFonts w:ascii="Arial" w:hAnsi="Arial" w:cs="Arial"/>
        </w:rPr>
        <w:t xml:space="preserve">   </w:t>
      </w:r>
    </w:p>
    <w:p w14:paraId="3F7E341F" w14:textId="70DAA20F" w:rsidR="00960498" w:rsidRPr="00746F54" w:rsidRDefault="00960498" w:rsidP="00960498">
      <w:pPr>
        <w:pStyle w:val="ParaText"/>
        <w:rPr>
          <w:rFonts w:ascii="Arial" w:hAnsi="Arial" w:cs="Arial"/>
        </w:rPr>
      </w:pPr>
      <w:r w:rsidRPr="00746F54">
        <w:rPr>
          <w:rFonts w:ascii="Arial" w:hAnsi="Arial" w:cs="Arial"/>
        </w:rPr>
        <w:t xml:space="preserve">ICCP is industry standardized communication protocol but does not eliminate the need for a direct Energy Communication Network (ECN) connectivity.  </w:t>
      </w:r>
      <w:r w:rsidR="00562C57" w:rsidRPr="00746F54">
        <w:rPr>
          <w:rFonts w:ascii="Arial" w:hAnsi="Arial" w:cs="Arial"/>
        </w:rPr>
        <w:t>A</w:t>
      </w:r>
      <w:r w:rsidRPr="00746F54">
        <w:rPr>
          <w:rFonts w:ascii="Arial" w:hAnsi="Arial" w:cs="Arial"/>
        </w:rPr>
        <w:t>ll other information security requirements remain effective as set forth in CAISO Information Security Requirements for the ECN.</w:t>
      </w:r>
    </w:p>
    <w:p w14:paraId="0766DD2E" w14:textId="7AB4D764" w:rsidR="00960498" w:rsidRPr="00746F54" w:rsidRDefault="00960498" w:rsidP="006C4447">
      <w:pPr>
        <w:pStyle w:val="ParaText"/>
        <w:rPr>
          <w:rFonts w:ascii="Arial" w:hAnsi="Arial" w:cs="Arial"/>
        </w:rPr>
      </w:pPr>
      <w:r w:rsidRPr="00746F54">
        <w:rPr>
          <w:rFonts w:ascii="Arial" w:hAnsi="Arial" w:cs="Arial"/>
        </w:rPr>
        <w:lastRenderedPageBreak/>
        <w:t>If additional requirements are required and agreed to between CAISO and EDAM Entit</w:t>
      </w:r>
      <w:r w:rsidR="005C4584" w:rsidRPr="00746F54">
        <w:rPr>
          <w:rFonts w:ascii="Arial" w:hAnsi="Arial" w:cs="Arial"/>
        </w:rPr>
        <w:t>ies</w:t>
      </w:r>
      <w:r w:rsidRPr="00746F54">
        <w:rPr>
          <w:rFonts w:ascii="Arial" w:hAnsi="Arial" w:cs="Arial"/>
        </w:rPr>
        <w:t xml:space="preserve">, a schedule of implementation of the additional requirements will be agreed to as well.  </w:t>
      </w:r>
    </w:p>
    <w:p w14:paraId="15C77A45" w14:textId="6A519749" w:rsidR="006C4447" w:rsidRPr="00746F54" w:rsidRDefault="009560FB" w:rsidP="006C4447">
      <w:pPr>
        <w:pStyle w:val="Heading3"/>
        <w:rPr>
          <w:rFonts w:ascii="Arial" w:hAnsi="Arial" w:cs="Arial"/>
        </w:rPr>
      </w:pPr>
      <w:bookmarkStart w:id="40" w:name="_Toc211337872"/>
      <w:r w:rsidRPr="00746F54">
        <w:rPr>
          <w:rFonts w:ascii="Arial" w:hAnsi="Arial" w:cs="Arial"/>
        </w:rPr>
        <w:t>Communications and OASIS</w:t>
      </w:r>
      <w:bookmarkEnd w:id="40"/>
    </w:p>
    <w:p w14:paraId="280033C3" w14:textId="77777777" w:rsidR="006C4447" w:rsidRPr="00746F54" w:rsidRDefault="006C4447" w:rsidP="006C4447">
      <w:pPr>
        <w:pStyle w:val="ParaText"/>
        <w:rPr>
          <w:rFonts w:ascii="Arial" w:hAnsi="Arial" w:cs="Arial"/>
          <w:bCs/>
          <w:u w:val="single"/>
        </w:rPr>
      </w:pPr>
      <w:r w:rsidRPr="00746F54">
        <w:rPr>
          <w:rFonts w:ascii="Arial" w:hAnsi="Arial" w:cs="Arial"/>
          <w:bCs/>
          <w:u w:val="single"/>
        </w:rPr>
        <w:t xml:space="preserve">Reference Section 33.6.2. </w:t>
      </w:r>
    </w:p>
    <w:p w14:paraId="1D15639E" w14:textId="28EF79C9" w:rsidR="00272C87" w:rsidRPr="00746F54" w:rsidRDefault="006C4447" w:rsidP="006C4447">
      <w:pPr>
        <w:pStyle w:val="ParaText"/>
        <w:rPr>
          <w:rFonts w:ascii="Arial" w:hAnsi="Arial" w:cs="Arial"/>
          <w:bCs/>
        </w:rPr>
      </w:pPr>
      <w:r w:rsidRPr="00746F54">
        <w:rPr>
          <w:rFonts w:ascii="Arial" w:hAnsi="Arial" w:cs="Arial"/>
          <w:bCs/>
        </w:rPr>
        <w:t xml:space="preserve">Unless </w:t>
      </w:r>
      <w:r w:rsidR="00DC7BBC" w:rsidRPr="00746F54">
        <w:rPr>
          <w:rFonts w:ascii="Arial" w:hAnsi="Arial" w:cs="Arial"/>
          <w:bCs/>
        </w:rPr>
        <w:t xml:space="preserve">directed otherwise, </w:t>
      </w:r>
      <w:r w:rsidRPr="00746F54">
        <w:rPr>
          <w:rFonts w:ascii="Arial" w:hAnsi="Arial" w:cs="Arial"/>
          <w:bCs/>
        </w:rPr>
        <w:t xml:space="preserve">the </w:t>
      </w:r>
      <w:r w:rsidR="00584C03" w:rsidRPr="00746F54">
        <w:rPr>
          <w:rFonts w:ascii="Arial" w:hAnsi="Arial" w:cs="Arial"/>
          <w:bCs/>
        </w:rPr>
        <w:t>market operator</w:t>
      </w:r>
      <w:r w:rsidRPr="00746F54">
        <w:rPr>
          <w:rFonts w:ascii="Arial" w:hAnsi="Arial" w:cs="Arial"/>
          <w:bCs/>
        </w:rPr>
        <w:t xml:space="preserve"> will not communicate directly with Generators and Demand Response Providers in an EDAM Entity’s Balancing Authority Area or those that are pseudo-tied from an external Balancing Authority Area to the EDAM Entity Balancing Authority Area</w:t>
      </w:r>
      <w:r w:rsidR="00DC7BBC" w:rsidRPr="00746F54">
        <w:rPr>
          <w:rFonts w:ascii="Arial" w:hAnsi="Arial" w:cs="Arial"/>
          <w:bCs/>
        </w:rPr>
        <w:t xml:space="preserve"> in the manner described for </w:t>
      </w:r>
      <w:r w:rsidR="00584C03" w:rsidRPr="00746F54">
        <w:rPr>
          <w:rFonts w:ascii="Arial" w:hAnsi="Arial" w:cs="Arial"/>
          <w:bCs/>
        </w:rPr>
        <w:t>market operator</w:t>
      </w:r>
      <w:r w:rsidR="00DC7BBC" w:rsidRPr="00746F54">
        <w:rPr>
          <w:rFonts w:ascii="Arial" w:hAnsi="Arial" w:cs="Arial"/>
          <w:bCs/>
        </w:rPr>
        <w:t xml:space="preserve"> communications in Section 6.3.1 of the ISO Tariff</w:t>
      </w:r>
      <w:r w:rsidRPr="00746F54">
        <w:rPr>
          <w:rFonts w:ascii="Arial" w:hAnsi="Arial" w:cs="Arial"/>
          <w:bCs/>
        </w:rPr>
        <w:t>.  T</w:t>
      </w:r>
      <w:r w:rsidR="00DC7BBC" w:rsidRPr="00746F54">
        <w:rPr>
          <w:rFonts w:ascii="Arial" w:hAnsi="Arial" w:cs="Arial"/>
          <w:bCs/>
        </w:rPr>
        <w:t>o ensure system reliability, the EDAM Entity will fulfill these needs</w:t>
      </w:r>
      <w:r w:rsidR="00A70C02" w:rsidRPr="00746F54">
        <w:rPr>
          <w:rFonts w:ascii="Arial" w:hAnsi="Arial" w:cs="Arial"/>
          <w:bCs/>
        </w:rPr>
        <w:t xml:space="preserve"> between any sub-BA, market participant or facility own</w:t>
      </w:r>
      <w:r w:rsidR="005819FE">
        <w:rPr>
          <w:rFonts w:ascii="Arial" w:hAnsi="Arial" w:cs="Arial"/>
          <w:bCs/>
        </w:rPr>
        <w:t>ed</w:t>
      </w:r>
      <w:r w:rsidR="00A70C02" w:rsidRPr="00746F54">
        <w:rPr>
          <w:rFonts w:ascii="Arial" w:hAnsi="Arial" w:cs="Arial"/>
          <w:bCs/>
        </w:rPr>
        <w:t xml:space="preserve"> in the</w:t>
      </w:r>
      <w:r w:rsidR="00AD014D" w:rsidRPr="00746F54">
        <w:rPr>
          <w:rFonts w:ascii="Arial" w:hAnsi="Arial" w:cs="Arial"/>
          <w:bCs/>
        </w:rPr>
        <w:t>ir</w:t>
      </w:r>
      <w:r w:rsidR="00A70C02" w:rsidRPr="00746F54">
        <w:rPr>
          <w:rFonts w:ascii="Arial" w:hAnsi="Arial" w:cs="Arial"/>
          <w:bCs/>
        </w:rPr>
        <w:t xml:space="preserve"> Balancing Authority</w:t>
      </w:r>
      <w:r w:rsidR="00DD1B39" w:rsidRPr="00746F54">
        <w:rPr>
          <w:rFonts w:ascii="Arial" w:hAnsi="Arial" w:cs="Arial"/>
          <w:bCs/>
        </w:rPr>
        <w:t>.</w:t>
      </w:r>
      <w:r w:rsidR="00272C87" w:rsidRPr="00746F54">
        <w:rPr>
          <w:rFonts w:ascii="Arial" w:hAnsi="Arial" w:cs="Arial"/>
          <w:bCs/>
        </w:rPr>
        <w:t xml:space="preserve"> </w:t>
      </w:r>
    </w:p>
    <w:p w14:paraId="7F992502" w14:textId="7D3E075C" w:rsidR="00771D1D" w:rsidRPr="00746F54" w:rsidRDefault="00272C87" w:rsidP="006C4447">
      <w:pPr>
        <w:pStyle w:val="ParaText"/>
        <w:rPr>
          <w:rFonts w:ascii="Arial" w:hAnsi="Arial" w:cs="Arial"/>
          <w:bCs/>
        </w:rPr>
      </w:pPr>
      <w:r w:rsidRPr="00746F54">
        <w:rPr>
          <w:rFonts w:ascii="Arial" w:hAnsi="Arial" w:cs="Arial"/>
          <w:bCs/>
        </w:rPr>
        <w:t>With the introduction of the EDAM, t</w:t>
      </w:r>
      <w:r w:rsidR="00662C26" w:rsidRPr="00746F54">
        <w:rPr>
          <w:rFonts w:ascii="Arial" w:hAnsi="Arial" w:cs="Arial"/>
          <w:bCs/>
        </w:rPr>
        <w:t xml:space="preserve">he market operator will </w:t>
      </w:r>
      <w:r w:rsidR="001B565B" w:rsidRPr="00746F54">
        <w:rPr>
          <w:rFonts w:ascii="Arial" w:hAnsi="Arial" w:cs="Arial"/>
          <w:bCs/>
        </w:rPr>
        <w:t xml:space="preserve">make certain market information </w:t>
      </w:r>
      <w:r w:rsidR="00300CF5" w:rsidRPr="00746F54">
        <w:rPr>
          <w:rFonts w:ascii="Arial" w:hAnsi="Arial" w:cs="Arial"/>
          <w:bCs/>
        </w:rPr>
        <w:t xml:space="preserve">and reports </w:t>
      </w:r>
      <w:r w:rsidR="001B565B" w:rsidRPr="00746F54">
        <w:rPr>
          <w:rFonts w:ascii="Arial" w:hAnsi="Arial" w:cs="Arial"/>
          <w:bCs/>
        </w:rPr>
        <w:t>publicly available on the CAISO Open Access Same Time Information System (OASIS)</w:t>
      </w:r>
      <w:r w:rsidR="00662C26" w:rsidRPr="00746F54">
        <w:rPr>
          <w:rFonts w:ascii="Arial" w:hAnsi="Arial" w:cs="Arial"/>
          <w:bCs/>
        </w:rPr>
        <w:t xml:space="preserve"> </w:t>
      </w:r>
      <w:r w:rsidR="001B565B" w:rsidRPr="00746F54">
        <w:rPr>
          <w:rFonts w:ascii="Arial" w:hAnsi="Arial" w:cs="Arial"/>
          <w:bCs/>
        </w:rPr>
        <w:t>page.  This information reported on OASIS includes</w:t>
      </w:r>
      <w:r w:rsidR="004433CF" w:rsidRPr="00746F54">
        <w:rPr>
          <w:rFonts w:ascii="Arial" w:hAnsi="Arial" w:cs="Arial"/>
          <w:bCs/>
        </w:rPr>
        <w:t>, but not limited to</w:t>
      </w:r>
      <w:r w:rsidR="001B565B" w:rsidRPr="00746F54">
        <w:rPr>
          <w:rFonts w:ascii="Arial" w:hAnsi="Arial" w:cs="Arial"/>
          <w:bCs/>
        </w:rPr>
        <w:t>:</w:t>
      </w:r>
    </w:p>
    <w:p w14:paraId="61897971" w14:textId="3B137EED" w:rsidR="001B565B" w:rsidRPr="00746F54" w:rsidRDefault="00300CF5" w:rsidP="001B565B">
      <w:pPr>
        <w:pStyle w:val="ParaText"/>
        <w:numPr>
          <w:ilvl w:val="0"/>
          <w:numId w:val="130"/>
        </w:numPr>
        <w:rPr>
          <w:rFonts w:ascii="Arial" w:hAnsi="Arial" w:cs="Arial"/>
          <w:bCs/>
        </w:rPr>
      </w:pPr>
      <w:r w:rsidRPr="00746F54">
        <w:rPr>
          <w:rFonts w:ascii="Arial" w:hAnsi="Arial" w:cs="Arial"/>
          <w:bCs/>
        </w:rPr>
        <w:t>Report on day-ahead binding resource sufficiency evaluation results</w:t>
      </w:r>
    </w:p>
    <w:p w14:paraId="463B258C" w14:textId="3EDFEAEB" w:rsidR="00300CF5" w:rsidRPr="00746F54" w:rsidRDefault="00300CF5" w:rsidP="001B565B">
      <w:pPr>
        <w:pStyle w:val="ParaText"/>
        <w:numPr>
          <w:ilvl w:val="0"/>
          <w:numId w:val="130"/>
        </w:numPr>
        <w:rPr>
          <w:rFonts w:ascii="Arial" w:hAnsi="Arial" w:cs="Arial"/>
          <w:bCs/>
        </w:rPr>
      </w:pPr>
      <w:r w:rsidRPr="00746F54">
        <w:rPr>
          <w:rFonts w:ascii="Arial" w:hAnsi="Arial" w:cs="Arial"/>
          <w:bCs/>
        </w:rPr>
        <w:t>Report on Imbalance Reserve results from the day ahead resource sufficiency evaluation</w:t>
      </w:r>
    </w:p>
    <w:p w14:paraId="6E3DEA93" w14:textId="22CD902E" w:rsidR="00300CF5" w:rsidRPr="00746F54" w:rsidRDefault="00300CF5" w:rsidP="001B565B">
      <w:pPr>
        <w:pStyle w:val="ParaText"/>
        <w:numPr>
          <w:ilvl w:val="0"/>
          <w:numId w:val="130"/>
        </w:numPr>
        <w:rPr>
          <w:rFonts w:ascii="Arial" w:hAnsi="Arial" w:cs="Arial"/>
          <w:bCs/>
        </w:rPr>
      </w:pPr>
      <w:r w:rsidRPr="00746F54">
        <w:rPr>
          <w:rFonts w:ascii="Arial" w:hAnsi="Arial" w:cs="Arial"/>
          <w:bCs/>
        </w:rPr>
        <w:t>Publication of net day-ahead transfers between EDAM balancing areas</w:t>
      </w:r>
    </w:p>
    <w:p w14:paraId="295891CF" w14:textId="55B28F83" w:rsidR="00300CF5" w:rsidRPr="00746F54" w:rsidRDefault="00300CF5" w:rsidP="001B565B">
      <w:pPr>
        <w:pStyle w:val="ParaText"/>
        <w:numPr>
          <w:ilvl w:val="0"/>
          <w:numId w:val="130"/>
        </w:numPr>
        <w:rPr>
          <w:rFonts w:ascii="Arial" w:hAnsi="Arial" w:cs="Arial"/>
          <w:bCs/>
        </w:rPr>
      </w:pPr>
      <w:r w:rsidRPr="00746F54">
        <w:rPr>
          <w:rFonts w:ascii="Arial" w:hAnsi="Arial" w:cs="Arial"/>
          <w:bCs/>
        </w:rPr>
        <w:t xml:space="preserve">Publication of total net greenhouse gas (GHG) import transfers deemed for each GHG regulation </w:t>
      </w:r>
      <w:r w:rsidR="00A62A99" w:rsidRPr="00746F54">
        <w:rPr>
          <w:rFonts w:ascii="Arial" w:hAnsi="Arial" w:cs="Arial"/>
          <w:bCs/>
        </w:rPr>
        <w:t>area.</w:t>
      </w:r>
    </w:p>
    <w:p w14:paraId="060AD7CE" w14:textId="7AFC83C4" w:rsidR="000C4603" w:rsidRPr="00746F54" w:rsidRDefault="000C4603" w:rsidP="001B565B">
      <w:pPr>
        <w:pStyle w:val="ParaText"/>
        <w:numPr>
          <w:ilvl w:val="0"/>
          <w:numId w:val="130"/>
        </w:numPr>
        <w:rPr>
          <w:rFonts w:ascii="Arial" w:hAnsi="Arial" w:cs="Arial"/>
          <w:bCs/>
        </w:rPr>
      </w:pPr>
      <w:r w:rsidRPr="00746F54">
        <w:rPr>
          <w:rFonts w:ascii="Arial" w:hAnsi="Arial" w:cs="Arial"/>
          <w:bCs/>
        </w:rPr>
        <w:t>Publication of GHG clearing price reporting by GHG regulation area</w:t>
      </w:r>
    </w:p>
    <w:p w14:paraId="2734C076" w14:textId="351FEF64" w:rsidR="000C4603" w:rsidRPr="00746F54" w:rsidRDefault="000C4603" w:rsidP="001B565B">
      <w:pPr>
        <w:pStyle w:val="ParaText"/>
        <w:numPr>
          <w:ilvl w:val="0"/>
          <w:numId w:val="130"/>
        </w:numPr>
        <w:rPr>
          <w:rFonts w:ascii="Arial" w:hAnsi="Arial" w:cs="Arial"/>
          <w:bCs/>
        </w:rPr>
      </w:pPr>
      <w:r w:rsidRPr="00746F54">
        <w:rPr>
          <w:rFonts w:ascii="Arial" w:hAnsi="Arial" w:cs="Arial"/>
          <w:bCs/>
        </w:rPr>
        <w:t>Publication of EDAM net export transfer constraint input parameters (if applicable)</w:t>
      </w:r>
    </w:p>
    <w:p w14:paraId="3020337A" w14:textId="5AC05971" w:rsidR="004433CF" w:rsidRPr="00746F54" w:rsidRDefault="00272C87" w:rsidP="004433CF">
      <w:pPr>
        <w:pStyle w:val="ParaText"/>
        <w:rPr>
          <w:rFonts w:ascii="Arial" w:hAnsi="Arial" w:cs="Arial"/>
          <w:bCs/>
        </w:rPr>
      </w:pPr>
      <w:r w:rsidRPr="00746F54">
        <w:rPr>
          <w:rFonts w:ascii="Arial" w:hAnsi="Arial" w:cs="Arial"/>
          <w:bCs/>
        </w:rPr>
        <w:t>Each EDAM entity will also receive additional information unique to its balancing authority area through the Customer Market Results Interface (CMRI)</w:t>
      </w:r>
      <w:r w:rsidR="009013BE" w:rsidRPr="00746F54">
        <w:rPr>
          <w:rFonts w:ascii="Arial" w:hAnsi="Arial" w:cs="Arial"/>
          <w:bCs/>
        </w:rPr>
        <w:t xml:space="preserve"> to support its participation in the market.  </w:t>
      </w:r>
    </w:p>
    <w:p w14:paraId="0F2ED229" w14:textId="5D101565" w:rsidR="004433CF" w:rsidRPr="00746F54" w:rsidRDefault="004433CF" w:rsidP="004433CF">
      <w:pPr>
        <w:pStyle w:val="ParaText"/>
        <w:rPr>
          <w:rFonts w:ascii="Arial" w:hAnsi="Arial" w:cs="Arial"/>
          <w:bCs/>
        </w:rPr>
      </w:pPr>
      <w:r w:rsidRPr="00746F54">
        <w:rPr>
          <w:rFonts w:ascii="Arial" w:hAnsi="Arial" w:cs="Arial"/>
          <w:bCs/>
        </w:rPr>
        <w:t>For further details on OASIS reports publicly available or CMRU reports available only to EDAM Entities, see the Market Instruments BPM</w:t>
      </w:r>
      <w:r w:rsidR="00AC0E4B" w:rsidRPr="00746F54">
        <w:rPr>
          <w:rFonts w:ascii="Arial" w:hAnsi="Arial" w:cs="Arial"/>
          <w:bCs/>
        </w:rPr>
        <w:t>.</w:t>
      </w:r>
    </w:p>
    <w:p w14:paraId="50368654" w14:textId="6DE5C19C" w:rsidR="00A156CF" w:rsidRPr="00746F54" w:rsidRDefault="00DC7BBC" w:rsidP="00DC7BBC">
      <w:pPr>
        <w:pStyle w:val="Heading3"/>
        <w:rPr>
          <w:rFonts w:ascii="Arial" w:hAnsi="Arial" w:cs="Arial"/>
        </w:rPr>
      </w:pPr>
      <w:bookmarkStart w:id="41" w:name="_Toc211337873"/>
      <w:r w:rsidRPr="00746F54">
        <w:rPr>
          <w:rFonts w:ascii="Arial" w:hAnsi="Arial" w:cs="Arial"/>
        </w:rPr>
        <w:t>Procedures in Event of Lost Communication</w:t>
      </w:r>
      <w:bookmarkEnd w:id="41"/>
      <w:r w:rsidRPr="00746F54">
        <w:rPr>
          <w:rFonts w:ascii="Arial" w:hAnsi="Arial" w:cs="Arial"/>
        </w:rPr>
        <w:t xml:space="preserve"> </w:t>
      </w:r>
    </w:p>
    <w:p w14:paraId="69B24F87" w14:textId="6D35B870" w:rsidR="006D7F00" w:rsidRPr="00746F54" w:rsidRDefault="00DC7BBC" w:rsidP="00636D40">
      <w:pPr>
        <w:pStyle w:val="ParaText"/>
        <w:spacing w:line="360" w:lineRule="auto"/>
        <w:rPr>
          <w:rFonts w:ascii="Arial" w:hAnsi="Arial" w:cs="Arial"/>
          <w:u w:val="single"/>
        </w:rPr>
      </w:pPr>
      <w:r w:rsidRPr="00746F54">
        <w:rPr>
          <w:rFonts w:ascii="Arial" w:hAnsi="Arial" w:cs="Arial"/>
          <w:u w:val="single"/>
        </w:rPr>
        <w:t>Reference Section 33.6.</w:t>
      </w:r>
      <w:r w:rsidR="00D8106E" w:rsidRPr="00746F54">
        <w:rPr>
          <w:rFonts w:ascii="Arial" w:hAnsi="Arial" w:cs="Arial"/>
          <w:u w:val="single"/>
        </w:rPr>
        <w:t>3</w:t>
      </w:r>
      <w:r w:rsidR="00CE112C" w:rsidRPr="00746F54">
        <w:rPr>
          <w:rFonts w:ascii="Arial" w:hAnsi="Arial" w:cs="Arial"/>
          <w:u w:val="single"/>
        </w:rPr>
        <w:t xml:space="preserve"> </w:t>
      </w:r>
    </w:p>
    <w:p w14:paraId="471694B2" w14:textId="24770C2A" w:rsidR="007F3E91" w:rsidRPr="00746F54" w:rsidRDefault="00DC7BBC" w:rsidP="00AC0E4B">
      <w:pPr>
        <w:pStyle w:val="ParaText"/>
        <w:spacing w:line="360" w:lineRule="auto"/>
        <w:rPr>
          <w:rFonts w:ascii="Arial" w:hAnsi="Arial" w:cs="Arial"/>
        </w:rPr>
      </w:pPr>
      <w:r w:rsidRPr="00746F54">
        <w:rPr>
          <w:rFonts w:ascii="Arial" w:hAnsi="Arial" w:cs="Arial"/>
        </w:rPr>
        <w:lastRenderedPageBreak/>
        <w:t xml:space="preserve">The CAISO and each EDAM Entity, EDAM Entity Scheduling Coordinator, and EDAM Load Serving Entity Scheduling Coordinator will establish procedures to address an interruption of </w:t>
      </w:r>
      <w:r w:rsidR="00750440" w:rsidRPr="00746F54">
        <w:rPr>
          <w:rFonts w:ascii="Arial" w:hAnsi="Arial" w:cs="Arial"/>
        </w:rPr>
        <w:t>Day-Ahead</w:t>
      </w:r>
      <w:r w:rsidR="00981D6A" w:rsidRPr="00746F54">
        <w:rPr>
          <w:rFonts w:ascii="Arial" w:hAnsi="Arial" w:cs="Arial"/>
        </w:rPr>
        <w:t xml:space="preserve"> </w:t>
      </w:r>
      <w:r w:rsidRPr="00746F54">
        <w:rPr>
          <w:rFonts w:ascii="Arial" w:hAnsi="Arial" w:cs="Arial"/>
        </w:rPr>
        <w:t>Market communications, which will include steps to be taken to restore communications and address any impact on system or market operations.</w:t>
      </w:r>
      <w:r w:rsidR="00826E23" w:rsidRPr="00746F54">
        <w:rPr>
          <w:rFonts w:ascii="Arial" w:hAnsi="Arial" w:cs="Arial"/>
        </w:rPr>
        <w:t xml:space="preserve">  </w:t>
      </w:r>
      <w:proofErr w:type="gramStart"/>
      <w:r w:rsidR="007F3E91" w:rsidRPr="00746F54">
        <w:rPr>
          <w:rFonts w:ascii="Arial" w:hAnsi="Arial" w:cs="Arial"/>
        </w:rPr>
        <w:t>In the event that</w:t>
      </w:r>
      <w:proofErr w:type="gramEnd"/>
      <w:r w:rsidR="007F3E91" w:rsidRPr="00746F54">
        <w:rPr>
          <w:rFonts w:ascii="Arial" w:hAnsi="Arial" w:cs="Arial"/>
        </w:rPr>
        <w:t xml:space="preserve"> the EDAM systems are not operational, </w:t>
      </w:r>
      <w:r w:rsidR="00FE6CE7" w:rsidRPr="00746F54">
        <w:rPr>
          <w:rFonts w:ascii="Arial" w:hAnsi="Arial" w:cs="Arial"/>
        </w:rPr>
        <w:t xml:space="preserve">as described in Tariff section 7.7.10, </w:t>
      </w:r>
      <w:r w:rsidR="007F3E91" w:rsidRPr="00746F54">
        <w:rPr>
          <w:rFonts w:ascii="Arial" w:hAnsi="Arial" w:cs="Arial"/>
        </w:rPr>
        <w:t xml:space="preserve">emergency capabilities may be required to communicate with the </w:t>
      </w:r>
      <w:r w:rsidR="00684498" w:rsidRPr="00746F54">
        <w:rPr>
          <w:rFonts w:ascii="Arial" w:hAnsi="Arial" w:cs="Arial"/>
        </w:rPr>
        <w:t>m</w:t>
      </w:r>
      <w:r w:rsidR="007F3E91" w:rsidRPr="00746F54">
        <w:rPr>
          <w:rFonts w:ascii="Arial" w:hAnsi="Arial" w:cs="Arial"/>
        </w:rPr>
        <w:t xml:space="preserve">arket </w:t>
      </w:r>
      <w:r w:rsidR="00684498" w:rsidRPr="00746F54">
        <w:rPr>
          <w:rFonts w:ascii="Arial" w:hAnsi="Arial" w:cs="Arial"/>
        </w:rPr>
        <w:t>o</w:t>
      </w:r>
      <w:r w:rsidR="007F3E91" w:rsidRPr="00746F54">
        <w:rPr>
          <w:rFonts w:ascii="Arial" w:hAnsi="Arial" w:cs="Arial"/>
        </w:rPr>
        <w:t>perator. The emergency capabilities that can be used as a back-up include:</w:t>
      </w:r>
    </w:p>
    <w:p w14:paraId="485355E4" w14:textId="6C5D6100" w:rsidR="007F3E91" w:rsidRPr="00746F54" w:rsidRDefault="007F3E91" w:rsidP="00AC0E4B">
      <w:pPr>
        <w:pStyle w:val="ParaText"/>
        <w:numPr>
          <w:ilvl w:val="0"/>
          <w:numId w:val="115"/>
        </w:numPr>
        <w:spacing w:after="0" w:line="240" w:lineRule="auto"/>
        <w:rPr>
          <w:rFonts w:ascii="Arial" w:hAnsi="Arial" w:cs="Arial"/>
        </w:rPr>
      </w:pPr>
      <w:r w:rsidRPr="00746F54">
        <w:rPr>
          <w:rFonts w:ascii="Arial" w:hAnsi="Arial" w:cs="Arial"/>
        </w:rPr>
        <w:t>Electronic format (such as e-mail)</w:t>
      </w:r>
    </w:p>
    <w:p w14:paraId="05595CA2" w14:textId="77777777" w:rsidR="007F3E91" w:rsidRPr="00746F54" w:rsidRDefault="007F3E91" w:rsidP="00AC0E4B">
      <w:pPr>
        <w:pStyle w:val="ParaText"/>
        <w:numPr>
          <w:ilvl w:val="0"/>
          <w:numId w:val="115"/>
        </w:numPr>
        <w:spacing w:line="240" w:lineRule="auto"/>
        <w:rPr>
          <w:rFonts w:ascii="Arial" w:hAnsi="Arial" w:cs="Arial"/>
        </w:rPr>
      </w:pPr>
      <w:r w:rsidRPr="00746F54">
        <w:rPr>
          <w:rFonts w:ascii="Arial" w:hAnsi="Arial" w:cs="Arial"/>
        </w:rPr>
        <w:t xml:space="preserve">Voice communication with Control Center Personnel.  </w:t>
      </w:r>
    </w:p>
    <w:p w14:paraId="5E1ECF95" w14:textId="65843A4D" w:rsidR="00DC7BBC" w:rsidRPr="00746F54" w:rsidRDefault="00826E23">
      <w:pPr>
        <w:pStyle w:val="ParaText"/>
        <w:spacing w:line="360" w:lineRule="auto"/>
        <w:rPr>
          <w:rFonts w:ascii="Arial" w:hAnsi="Arial" w:cs="Arial"/>
        </w:rPr>
      </w:pPr>
      <w:r w:rsidRPr="00746F54">
        <w:rPr>
          <w:rFonts w:ascii="Arial" w:hAnsi="Arial" w:cs="Arial"/>
        </w:rPr>
        <w:t xml:space="preserve">Should the loss of communications impact an EDAM entity’s participation in EDAM, a Market Isolation may be declared.  </w:t>
      </w:r>
    </w:p>
    <w:p w14:paraId="60FBFD0C" w14:textId="649E16D7" w:rsidR="00D8106E" w:rsidRPr="00746F54" w:rsidRDefault="00D8106E">
      <w:pPr>
        <w:pStyle w:val="ParaText"/>
        <w:spacing w:line="360" w:lineRule="auto"/>
        <w:rPr>
          <w:rFonts w:ascii="Arial" w:hAnsi="Arial" w:cs="Arial"/>
        </w:rPr>
      </w:pPr>
      <w:r w:rsidRPr="00746F54">
        <w:rPr>
          <w:rFonts w:ascii="Arial" w:hAnsi="Arial" w:cs="Arial"/>
        </w:rPr>
        <w:t xml:space="preserve">An EDAM entity that loses communications with the CAISO remains responsible for managing activities within its balancing authority area without the Day-Ahead Market and potentially the Real-Time Market depending on the severity of lost communications.  </w:t>
      </w:r>
    </w:p>
    <w:p w14:paraId="3722F7EE" w14:textId="2F0423D7" w:rsidR="00771D1D" w:rsidRPr="00746F54" w:rsidRDefault="00771D1D" w:rsidP="00771D1D">
      <w:pPr>
        <w:pStyle w:val="Heading3"/>
        <w:rPr>
          <w:rFonts w:ascii="Arial" w:hAnsi="Arial" w:cs="Arial"/>
        </w:rPr>
      </w:pPr>
      <w:bookmarkStart w:id="42" w:name="_Toc211337874"/>
      <w:r w:rsidRPr="00746F54">
        <w:rPr>
          <w:rFonts w:ascii="Arial" w:hAnsi="Arial" w:cs="Arial"/>
        </w:rPr>
        <w:t>Variable Energy Resource and Hybrid Resource Forecast Communications</w:t>
      </w:r>
      <w:bookmarkEnd w:id="42"/>
    </w:p>
    <w:p w14:paraId="30EDE95B" w14:textId="2DDE540B" w:rsidR="00771D1D" w:rsidRPr="00746F54" w:rsidRDefault="00771D1D" w:rsidP="00771D1D">
      <w:pPr>
        <w:pStyle w:val="ParaText"/>
        <w:rPr>
          <w:rFonts w:ascii="Arial" w:hAnsi="Arial" w:cs="Arial"/>
          <w:u w:val="single"/>
        </w:rPr>
      </w:pPr>
      <w:r w:rsidRPr="00746F54">
        <w:rPr>
          <w:rFonts w:ascii="Arial" w:hAnsi="Arial" w:cs="Arial"/>
          <w:u w:val="single"/>
        </w:rPr>
        <w:t>Reference tariff sections 33.6.4 and 33.6.5</w:t>
      </w:r>
    </w:p>
    <w:p w14:paraId="78D42D72" w14:textId="17B62E78" w:rsidR="00771D1D" w:rsidRPr="00746F54" w:rsidRDefault="00771D1D" w:rsidP="00771D1D">
      <w:pPr>
        <w:pStyle w:val="ParaText"/>
        <w:rPr>
          <w:rFonts w:ascii="Arial" w:hAnsi="Arial" w:cs="Arial"/>
        </w:rPr>
      </w:pPr>
      <w:r w:rsidRPr="00746F54">
        <w:rPr>
          <w:rFonts w:ascii="Arial" w:hAnsi="Arial" w:cs="Arial"/>
        </w:rPr>
        <w:t xml:space="preserve">To the extent that the EDAM Resource Scheduling Coordinator for a Variable Energy Resource or a Hybrid Resource does not utilize the CAISO forecasting service but instead elects to use an independent forecasting service, it must make data transfer arrangements with the CAISO.  This will allow the CAISO to receive the forecast in </w:t>
      </w:r>
      <w:r w:rsidR="00323185" w:rsidRPr="00746F54">
        <w:rPr>
          <w:rFonts w:ascii="Arial" w:hAnsi="Arial" w:cs="Arial"/>
        </w:rPr>
        <w:t>the appropriate format and in a timely manner.</w:t>
      </w:r>
    </w:p>
    <w:p w14:paraId="36E89A92" w14:textId="43215E8D" w:rsidR="00771D1D" w:rsidRPr="00746F54" w:rsidRDefault="00323185" w:rsidP="00A31EEA">
      <w:pPr>
        <w:pStyle w:val="ParaText"/>
        <w:rPr>
          <w:rFonts w:ascii="Arial" w:hAnsi="Arial" w:cs="Arial"/>
        </w:rPr>
      </w:pPr>
      <w:r w:rsidRPr="00746F54">
        <w:rPr>
          <w:rFonts w:ascii="Arial" w:hAnsi="Arial" w:cs="Arial"/>
        </w:rPr>
        <w:t xml:space="preserve">The data and format are described in Appendix Q to the CAISO tariff and </w:t>
      </w:r>
      <w:proofErr w:type="gramStart"/>
      <w:r w:rsidRPr="00746F54">
        <w:rPr>
          <w:rFonts w:ascii="Arial" w:hAnsi="Arial" w:cs="Arial"/>
        </w:rPr>
        <w:t>capture</w:t>
      </w:r>
      <w:r w:rsidR="00D0655F">
        <w:rPr>
          <w:rFonts w:ascii="Arial" w:hAnsi="Arial" w:cs="Arial"/>
        </w:rPr>
        <w:t>s</w:t>
      </w:r>
      <w:proofErr w:type="gramEnd"/>
      <w:r w:rsidRPr="00746F54">
        <w:rPr>
          <w:rFonts w:ascii="Arial" w:hAnsi="Arial" w:cs="Arial"/>
        </w:rPr>
        <w:t xml:space="preserve"> the requirements for the relevant resources providing forecast information to the CAISO. </w:t>
      </w:r>
      <w:r w:rsidR="00A31EEA" w:rsidRPr="00746F54">
        <w:rPr>
          <w:rFonts w:ascii="Arial" w:hAnsi="Arial" w:cs="Arial"/>
        </w:rPr>
        <w:t xml:space="preserve"> As described further in this </w:t>
      </w:r>
      <w:r w:rsidR="00A31EEA" w:rsidRPr="00746F54">
        <w:rPr>
          <w:rFonts w:ascii="Arial" w:hAnsi="Arial" w:cs="Arial"/>
          <w:i/>
          <w:iCs/>
        </w:rPr>
        <w:t>Forecasting</w:t>
      </w:r>
      <w:r w:rsidR="00A31EEA" w:rsidRPr="00746F54">
        <w:rPr>
          <w:rFonts w:ascii="Arial" w:hAnsi="Arial" w:cs="Arial"/>
        </w:rPr>
        <w:t xml:space="preserve"> section of this BPM, the forecast must be provided in hourly intervals for the day-ahead market through a 7 day-ahead horizon and must be updated by 06:00 and 09:00. </w:t>
      </w:r>
      <w:r w:rsidRPr="00746F54">
        <w:rPr>
          <w:rFonts w:ascii="Arial" w:hAnsi="Arial" w:cs="Arial"/>
        </w:rPr>
        <w:t xml:space="preserve"> </w:t>
      </w:r>
    </w:p>
    <w:p w14:paraId="56503C58" w14:textId="1F8AA1E7" w:rsidR="00062382" w:rsidRPr="00746F54" w:rsidRDefault="00062382" w:rsidP="00062382">
      <w:pPr>
        <w:pStyle w:val="Heading1"/>
        <w:rPr>
          <w:rFonts w:ascii="Arial" w:hAnsi="Arial" w:cs="Arial"/>
        </w:rPr>
      </w:pPr>
      <w:bookmarkStart w:id="43" w:name="_Toc211337875"/>
      <w:bookmarkStart w:id="44" w:name="_Toc228963681"/>
      <w:r w:rsidRPr="00746F54">
        <w:rPr>
          <w:rFonts w:ascii="Arial" w:hAnsi="Arial" w:cs="Arial"/>
        </w:rPr>
        <w:t xml:space="preserve">EDAM </w:t>
      </w:r>
      <w:r w:rsidR="008B6343" w:rsidRPr="00746F54">
        <w:rPr>
          <w:rFonts w:ascii="Arial" w:hAnsi="Arial" w:cs="Arial"/>
        </w:rPr>
        <w:t>Operation</w:t>
      </w:r>
      <w:r w:rsidR="000B47C0" w:rsidRPr="00746F54">
        <w:rPr>
          <w:rFonts w:ascii="Arial" w:hAnsi="Arial" w:cs="Arial"/>
        </w:rPr>
        <w:t>s</w:t>
      </w:r>
      <w:bookmarkEnd w:id="43"/>
      <w:bookmarkEnd w:id="44"/>
    </w:p>
    <w:p w14:paraId="7FE9FBF5" w14:textId="78D69486" w:rsidR="004A6471" w:rsidRPr="00746F54" w:rsidRDefault="000B47C0" w:rsidP="004A6471">
      <w:pPr>
        <w:pStyle w:val="Heading2"/>
        <w:rPr>
          <w:rFonts w:ascii="Arial" w:hAnsi="Arial" w:cs="Arial"/>
        </w:rPr>
      </w:pPr>
      <w:bookmarkStart w:id="45" w:name="_Toc211337876"/>
      <w:bookmarkStart w:id="46" w:name="_Toc228963682"/>
      <w:r w:rsidRPr="00746F54">
        <w:rPr>
          <w:rFonts w:ascii="Arial" w:hAnsi="Arial" w:cs="Arial"/>
        </w:rPr>
        <w:t>EDAM Transfer Modeling &amp; Transfer System Resources</w:t>
      </w:r>
      <w:bookmarkEnd w:id="45"/>
      <w:bookmarkEnd w:id="46"/>
      <w:r w:rsidR="00EA1695" w:rsidRPr="00746F54">
        <w:rPr>
          <w:rFonts w:ascii="Arial" w:hAnsi="Arial" w:cs="Arial"/>
        </w:rPr>
        <w:t xml:space="preserve"> </w:t>
      </w:r>
    </w:p>
    <w:p w14:paraId="7F0B9817" w14:textId="7CBE9702" w:rsidR="004A6471" w:rsidRPr="00746F54" w:rsidRDefault="000B47C0" w:rsidP="00062382">
      <w:pPr>
        <w:pStyle w:val="ParaText"/>
        <w:rPr>
          <w:rFonts w:ascii="Arial" w:eastAsia="Times New Roman" w:hAnsi="Arial" w:cs="Arial"/>
          <w:u w:val="single"/>
        </w:rPr>
      </w:pPr>
      <w:r w:rsidRPr="00746F54">
        <w:rPr>
          <w:rFonts w:ascii="Arial" w:eastAsia="Times New Roman" w:hAnsi="Arial" w:cs="Arial"/>
          <w:u w:val="single"/>
        </w:rPr>
        <w:t>Reference tariff section 33.7.2</w:t>
      </w:r>
    </w:p>
    <w:p w14:paraId="785BF7EF" w14:textId="77777777" w:rsidR="000B47C0" w:rsidRPr="00746F54" w:rsidRDefault="000B47C0" w:rsidP="00636D40">
      <w:pPr>
        <w:pStyle w:val="Heading3"/>
        <w:rPr>
          <w:rFonts w:ascii="Arial" w:hAnsi="Arial" w:cs="Arial"/>
        </w:rPr>
      </w:pPr>
      <w:bookmarkStart w:id="47" w:name="_Toc191646283"/>
      <w:bookmarkStart w:id="48" w:name="_Toc211337877"/>
      <w:r w:rsidRPr="00746F54">
        <w:rPr>
          <w:rFonts w:ascii="Arial" w:hAnsi="Arial" w:cs="Arial"/>
        </w:rPr>
        <w:lastRenderedPageBreak/>
        <w:t>Introduction</w:t>
      </w:r>
      <w:bookmarkEnd w:id="47"/>
      <w:bookmarkEnd w:id="48"/>
    </w:p>
    <w:p w14:paraId="7B4392EB" w14:textId="725A45FB" w:rsidR="000B47C0" w:rsidRPr="00746F54" w:rsidRDefault="000B47C0" w:rsidP="000B47C0">
      <w:pPr>
        <w:pStyle w:val="Paragraph"/>
        <w:rPr>
          <w:rFonts w:ascii="Arial" w:hAnsi="Arial" w:cs="Arial"/>
          <w:sz w:val="22"/>
        </w:rPr>
      </w:pPr>
      <w:r w:rsidRPr="00746F54">
        <w:rPr>
          <w:rFonts w:ascii="Arial" w:hAnsi="Arial" w:cs="Arial"/>
          <w:sz w:val="22"/>
        </w:rPr>
        <w:t xml:space="preserve">The Extended Day-Ahead Market (EDAM) and the Western Energy Imbalance Market (WEIM) are based on the concept of transfers between BAAs </w:t>
      </w:r>
      <w:r w:rsidR="006528D8">
        <w:rPr>
          <w:rFonts w:ascii="Arial" w:hAnsi="Arial" w:cs="Arial"/>
          <w:sz w:val="22"/>
        </w:rPr>
        <w:t xml:space="preserve">within the </w:t>
      </w:r>
      <w:r w:rsidRPr="00746F54">
        <w:rPr>
          <w:rFonts w:ascii="Arial" w:hAnsi="Arial" w:cs="Arial"/>
          <w:sz w:val="22"/>
        </w:rPr>
        <w:t>market footprint. Each BAA is kept in balance separately with a power balance constraint (PBC) that allows for an optimal net transfer that is either positive for export</w:t>
      </w:r>
      <w:r w:rsidR="006B7982">
        <w:rPr>
          <w:rFonts w:ascii="Arial" w:hAnsi="Arial" w:cs="Arial"/>
          <w:sz w:val="22"/>
        </w:rPr>
        <w:t>s</w:t>
      </w:r>
      <w:r w:rsidRPr="00746F54">
        <w:rPr>
          <w:rFonts w:ascii="Arial" w:hAnsi="Arial" w:cs="Arial"/>
          <w:sz w:val="22"/>
        </w:rPr>
        <w:t xml:space="preserve"> or negative for import</w:t>
      </w:r>
      <w:r w:rsidR="006B7982">
        <w:rPr>
          <w:rFonts w:ascii="Arial" w:hAnsi="Arial" w:cs="Arial"/>
          <w:sz w:val="22"/>
        </w:rPr>
        <w:t>s</w:t>
      </w:r>
      <w:r w:rsidRPr="00746F54">
        <w:rPr>
          <w:rFonts w:ascii="Arial" w:hAnsi="Arial" w:cs="Arial"/>
          <w:sz w:val="22"/>
        </w:rPr>
        <w:t>. Furthermore, the net transfer is optimally distributed to individual directional (export or import) transfers between BAAs at specific interties. Consistent with Section 33.7.2</w:t>
      </w:r>
      <w:r w:rsidR="006B7982">
        <w:rPr>
          <w:rFonts w:ascii="Arial" w:hAnsi="Arial" w:cs="Arial"/>
          <w:sz w:val="22"/>
        </w:rPr>
        <w:t xml:space="preserve"> of the tariff</w:t>
      </w:r>
      <w:r w:rsidRPr="00746F54">
        <w:rPr>
          <w:rFonts w:ascii="Arial" w:hAnsi="Arial" w:cs="Arial"/>
          <w:sz w:val="22"/>
        </w:rPr>
        <w:t xml:space="preserve">, each transfer is modeled as a matching pair of export/import Transfer System Resources (TSRs) for each direction at an intertie, as shown in </w:t>
      </w:r>
      <w:r w:rsidR="00102E2A">
        <w:rPr>
          <w:rFonts w:ascii="Arial" w:hAnsi="Arial" w:cs="Arial"/>
          <w:sz w:val="22"/>
        </w:rPr>
        <w:t xml:space="preserve">the Transfer Modelling figure </w:t>
      </w:r>
      <w:r w:rsidR="00C95132">
        <w:rPr>
          <w:rFonts w:ascii="Arial" w:hAnsi="Arial" w:cs="Arial"/>
          <w:sz w:val="22"/>
        </w:rPr>
        <w:t>below:</w:t>
      </w:r>
    </w:p>
    <w:p w14:paraId="6A682E64" w14:textId="77777777" w:rsidR="000B47C0" w:rsidRPr="00746F54" w:rsidRDefault="000B47C0" w:rsidP="000B47C0">
      <w:pPr>
        <w:pStyle w:val="Figure"/>
        <w:rPr>
          <w:rFonts w:ascii="Arial" w:hAnsi="Arial" w:cs="Arial"/>
          <w:sz w:val="22"/>
          <w:szCs w:val="22"/>
        </w:rPr>
      </w:pPr>
      <w:r w:rsidRPr="00746F54">
        <w:rPr>
          <w:rFonts w:ascii="Arial" w:hAnsi="Arial" w:cs="Arial"/>
          <w:noProof/>
          <w:sz w:val="22"/>
          <w:szCs w:val="22"/>
        </w:rPr>
        <w:drawing>
          <wp:inline distT="0" distB="0" distL="0" distR="0" wp14:anchorId="676BE2A0" wp14:editId="2F698C40">
            <wp:extent cx="5221605" cy="1705819"/>
            <wp:effectExtent l="0" t="0" r="0" b="8890"/>
            <wp:docPr id="829095212"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95212" name="Picture 1" descr="A diagram of a diagram&#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42"/>
                    <a:stretch/>
                  </pic:blipFill>
                  <pic:spPr bwMode="auto">
                    <a:xfrm>
                      <a:off x="0" y="0"/>
                      <a:ext cx="5221605" cy="1705819"/>
                    </a:xfrm>
                    <a:prstGeom prst="rect">
                      <a:avLst/>
                    </a:prstGeom>
                    <a:noFill/>
                    <a:ln>
                      <a:noFill/>
                    </a:ln>
                    <a:extLst>
                      <a:ext uri="{53640926-AAD7-44D8-BBD7-CCE9431645EC}">
                        <a14:shadowObscured xmlns:a14="http://schemas.microsoft.com/office/drawing/2010/main"/>
                      </a:ext>
                    </a:extLst>
                  </pic:spPr>
                </pic:pic>
              </a:graphicData>
            </a:graphic>
          </wp:inline>
        </w:drawing>
      </w:r>
    </w:p>
    <w:p w14:paraId="39C89742" w14:textId="740046F4" w:rsidR="000B47C0" w:rsidRPr="00746F54" w:rsidRDefault="000B47C0" w:rsidP="000B47C0">
      <w:pPr>
        <w:pStyle w:val="Caption"/>
        <w:rPr>
          <w:rFonts w:ascii="Arial" w:hAnsi="Arial" w:cs="Arial"/>
        </w:rPr>
      </w:pPr>
      <w:bookmarkStart w:id="49" w:name="_Toc179360388"/>
      <w:r w:rsidRPr="00746F54">
        <w:rPr>
          <w:rFonts w:ascii="Arial" w:hAnsi="Arial" w:cs="Arial"/>
        </w:rPr>
        <w:t xml:space="preserve">Transfer </w:t>
      </w:r>
      <w:r w:rsidR="00102E2A">
        <w:rPr>
          <w:rFonts w:ascii="Arial" w:hAnsi="Arial" w:cs="Arial"/>
        </w:rPr>
        <w:t>M</w:t>
      </w:r>
      <w:r w:rsidRPr="00746F54">
        <w:rPr>
          <w:rFonts w:ascii="Arial" w:hAnsi="Arial" w:cs="Arial"/>
        </w:rPr>
        <w:t>odelling</w:t>
      </w:r>
      <w:bookmarkEnd w:id="49"/>
    </w:p>
    <w:p w14:paraId="6F909173" w14:textId="7E6EB72B" w:rsidR="000B47C0" w:rsidRPr="00746F54" w:rsidRDefault="000B47C0" w:rsidP="009C2B4B">
      <w:pPr>
        <w:pStyle w:val="Paragraph"/>
        <w:rPr>
          <w:rFonts w:ascii="Arial" w:hAnsi="Arial" w:cs="Arial"/>
          <w:sz w:val="22"/>
        </w:rPr>
      </w:pPr>
      <w:r w:rsidRPr="00746F54">
        <w:rPr>
          <w:rFonts w:ascii="Arial" w:hAnsi="Arial" w:cs="Arial"/>
          <w:sz w:val="22"/>
        </w:rPr>
        <w:t>In general, there can be multiple transfers defined at a given intertie and direction, as well as between multiple BAA pairs. In the WEIM, only energy transfers are modeled, whereas in the EDAM both energy and capacity transfers are modeled. The TSRs are logical resources used to model the export from one BAA and the import to the other BAA, which constitutes the transfer; therefore, each export (import) TSR in the pair belongs to the exporting (importing) BAA, thus constrained by the power balance constraint of that BAA, whereas the net injection is zero at the intertie due to cancelation. Consistent with Section 33.18.2</w:t>
      </w:r>
      <w:r w:rsidR="008177ED">
        <w:rPr>
          <w:rFonts w:ascii="Arial" w:hAnsi="Arial" w:cs="Arial"/>
          <w:sz w:val="22"/>
        </w:rPr>
        <w:t xml:space="preserve"> of the tariff</w:t>
      </w:r>
      <w:r w:rsidRPr="00746F54">
        <w:rPr>
          <w:rFonts w:ascii="Arial" w:hAnsi="Arial" w:cs="Arial"/>
          <w:sz w:val="22"/>
        </w:rPr>
        <w:t>, this section of the business practice describes the TSR types (1-4), registered TSRs, and transient TSRs.</w:t>
      </w:r>
      <w:bookmarkStart w:id="50" w:name="_Toc191646284"/>
    </w:p>
    <w:p w14:paraId="7C82CF0B" w14:textId="77777777" w:rsidR="009C2B4B" w:rsidRPr="00746F54" w:rsidRDefault="009C2B4B" w:rsidP="009C2B4B">
      <w:pPr>
        <w:pStyle w:val="Paragraph"/>
        <w:rPr>
          <w:rFonts w:ascii="Arial" w:hAnsi="Arial" w:cs="Arial"/>
          <w:sz w:val="22"/>
        </w:rPr>
      </w:pPr>
    </w:p>
    <w:p w14:paraId="1828EE74" w14:textId="77777777" w:rsidR="000B47C0" w:rsidRPr="00746F54" w:rsidRDefault="000B47C0" w:rsidP="00636D40">
      <w:pPr>
        <w:pStyle w:val="Heading3"/>
        <w:rPr>
          <w:rFonts w:ascii="Arial" w:hAnsi="Arial" w:cs="Arial"/>
        </w:rPr>
      </w:pPr>
      <w:bookmarkStart w:id="51" w:name="_Toc211337878"/>
      <w:bookmarkEnd w:id="50"/>
      <w:r w:rsidRPr="00746F54">
        <w:rPr>
          <w:rFonts w:ascii="Arial" w:hAnsi="Arial" w:cs="Arial"/>
        </w:rPr>
        <w:t>Transfer System Resource Types</w:t>
      </w:r>
      <w:bookmarkEnd w:id="51"/>
    </w:p>
    <w:p w14:paraId="5DA3E154" w14:textId="77777777" w:rsidR="000B47C0" w:rsidRPr="00746F54" w:rsidRDefault="000B47C0" w:rsidP="000B47C0">
      <w:pPr>
        <w:pStyle w:val="Paragraph"/>
        <w:rPr>
          <w:rFonts w:ascii="Arial" w:hAnsi="Arial" w:cs="Arial"/>
          <w:sz w:val="22"/>
        </w:rPr>
      </w:pPr>
      <w:r w:rsidRPr="00746F54">
        <w:rPr>
          <w:rFonts w:ascii="Arial" w:hAnsi="Arial" w:cs="Arial"/>
          <w:sz w:val="22"/>
        </w:rPr>
        <w:t>In the EDAM, there are four types of transfers:</w:t>
      </w:r>
    </w:p>
    <w:p w14:paraId="73082FE6" w14:textId="64C10A33" w:rsidR="000B47C0" w:rsidRPr="00746F54" w:rsidRDefault="000B47C0" w:rsidP="000B47C0">
      <w:pPr>
        <w:pStyle w:val="Paragraph"/>
        <w:numPr>
          <w:ilvl w:val="0"/>
          <w:numId w:val="52"/>
        </w:numPr>
        <w:spacing w:line="240" w:lineRule="auto"/>
        <w:jc w:val="both"/>
        <w:rPr>
          <w:rFonts w:ascii="Arial" w:hAnsi="Arial" w:cs="Arial"/>
          <w:sz w:val="22"/>
        </w:rPr>
      </w:pPr>
      <w:r w:rsidRPr="00746F54">
        <w:rPr>
          <w:rFonts w:ascii="Arial" w:hAnsi="Arial" w:cs="Arial"/>
          <w:b/>
          <w:sz w:val="22"/>
        </w:rPr>
        <w:t>Type 1:</w:t>
      </w:r>
      <w:r w:rsidRPr="00746F54">
        <w:rPr>
          <w:rFonts w:ascii="Arial" w:hAnsi="Arial" w:cs="Arial"/>
          <w:sz w:val="22"/>
        </w:rPr>
        <w:t xml:space="preserve"> Bilateral energy transactions between transmission customers (TCs) that exercise their </w:t>
      </w:r>
      <w:r w:rsidR="00C95132" w:rsidRPr="00746F54">
        <w:rPr>
          <w:rFonts w:ascii="Arial" w:hAnsi="Arial" w:cs="Arial"/>
          <w:sz w:val="22"/>
        </w:rPr>
        <w:t>physical</w:t>
      </w:r>
      <w:r w:rsidRPr="00746F54">
        <w:rPr>
          <w:rFonts w:ascii="Arial" w:hAnsi="Arial" w:cs="Arial"/>
          <w:sz w:val="22"/>
        </w:rPr>
        <w:t xml:space="preserve"> and financial </w:t>
      </w:r>
      <w:r w:rsidR="00453F3C">
        <w:rPr>
          <w:rFonts w:ascii="Arial" w:hAnsi="Arial" w:cs="Arial"/>
          <w:sz w:val="22"/>
        </w:rPr>
        <w:t>(</w:t>
      </w:r>
      <w:r w:rsidRPr="00746F54">
        <w:rPr>
          <w:rFonts w:ascii="Arial" w:hAnsi="Arial" w:cs="Arial"/>
          <w:sz w:val="22"/>
        </w:rPr>
        <w:t>if applicable</w:t>
      </w:r>
      <w:r w:rsidR="00453F3C">
        <w:rPr>
          <w:rFonts w:ascii="Arial" w:hAnsi="Arial" w:cs="Arial"/>
          <w:sz w:val="22"/>
        </w:rPr>
        <w:t>)</w:t>
      </w:r>
      <w:r w:rsidRPr="00746F54">
        <w:rPr>
          <w:rFonts w:ascii="Arial" w:hAnsi="Arial" w:cs="Arial"/>
          <w:sz w:val="22"/>
        </w:rPr>
        <w:t xml:space="preserve">, transmission rights on each side of a transfer. The EDAM entity scheduling coordinator (EESC) on each side of the transfer must register the TSR for the relevant TC in the Master File, or the TC SC (TCSC) must define the TSR in SIBR for transient Type 1 TSRs for a specified trading day. Then, the TCSC may self-schedule its rights under the applicable transmission contract identified by a unique Contract Reference Number (CRN) on the respective TSR. All CRNs must be registered in the Master File by the relevant EESC. The TCSC may also specify the released capacity for the relevant CRN, which will be used by SIBR to define TSRs Type 2. The TCSCs and the CRNs may be the same for both TSRs of a transfer, or they may be different, but the </w:t>
      </w:r>
      <w:r w:rsidRPr="00746F54">
        <w:rPr>
          <w:rFonts w:ascii="Arial" w:hAnsi="Arial" w:cs="Arial"/>
          <w:sz w:val="22"/>
        </w:rPr>
        <w:lastRenderedPageBreak/>
        <w:t>self-schedules must be equal. The self-</w:t>
      </w:r>
      <w:proofErr w:type="gramStart"/>
      <w:r w:rsidRPr="00746F54">
        <w:rPr>
          <w:rFonts w:ascii="Arial" w:hAnsi="Arial" w:cs="Arial"/>
          <w:sz w:val="22"/>
        </w:rPr>
        <w:t>schedules</w:t>
      </w:r>
      <w:proofErr w:type="gramEnd"/>
      <w:r w:rsidRPr="00746F54">
        <w:rPr>
          <w:rFonts w:ascii="Arial" w:hAnsi="Arial" w:cs="Arial"/>
          <w:sz w:val="22"/>
        </w:rPr>
        <w:t xml:space="preserve"> under a CRN for all resources, i.e., TSRs and supply/demand resources, must be balanced and within the CRN entitlement in each BAA. Otherwise, they lose their physical right (higher scheduling priority) afforded by the CRN; nevertheless, they retain the financial right (transmission congestion/loss hedge from supply to demand and/or TSR export, or from TSR import and/or supply to demand) for the balanced portion, as applicable. Irrespective of the scheduling priority, TSR Type 1 self-schedules are RSE-eligible.</w:t>
      </w:r>
    </w:p>
    <w:p w14:paraId="1C228956" w14:textId="2F76B859" w:rsidR="000B47C0" w:rsidRPr="00746F54" w:rsidRDefault="000B47C0" w:rsidP="000B47C0">
      <w:pPr>
        <w:pStyle w:val="Paragraph"/>
        <w:numPr>
          <w:ilvl w:val="0"/>
          <w:numId w:val="52"/>
        </w:numPr>
        <w:spacing w:line="240" w:lineRule="auto"/>
        <w:jc w:val="both"/>
        <w:rPr>
          <w:rFonts w:ascii="Arial" w:hAnsi="Arial" w:cs="Arial"/>
          <w:sz w:val="22"/>
        </w:rPr>
      </w:pPr>
      <w:r w:rsidRPr="00746F54">
        <w:rPr>
          <w:rFonts w:ascii="Arial" w:hAnsi="Arial" w:cs="Arial"/>
          <w:b/>
          <w:sz w:val="22"/>
        </w:rPr>
        <w:t>Type 2:</w:t>
      </w:r>
      <w:r w:rsidRPr="00746F54">
        <w:rPr>
          <w:rFonts w:ascii="Arial" w:hAnsi="Arial" w:cs="Arial"/>
          <w:sz w:val="22"/>
        </w:rPr>
        <w:t xml:space="preserve"> There are two ways to create Type 2 TSRs. For registered Type 2 TSRs, the EESC on each side of the transfer must register the TSR for the relevant TC in the Master File. Then, the TCSC may release its transmission rights on the respective TSR. The TCSCs may be the same for both TSRs for a transfer, or they may be different, but the released transfer capacities must be equal. Alternatively, for transient Type 2 TSRs, the EESC on each side of the transfer location may submit in SIBR the list of TCs and associated total transmission right before 9:00 am. </w:t>
      </w:r>
      <w:r w:rsidR="00BA1258">
        <w:rPr>
          <w:rFonts w:ascii="Arial" w:hAnsi="Arial" w:cs="Arial"/>
          <w:sz w:val="22"/>
        </w:rPr>
        <w:t>The TCs included in the EES</w:t>
      </w:r>
      <w:r w:rsidR="00D12DFB">
        <w:rPr>
          <w:rFonts w:ascii="Arial" w:hAnsi="Arial" w:cs="Arial"/>
          <w:sz w:val="22"/>
        </w:rPr>
        <w:t xml:space="preserve">C lists </w:t>
      </w:r>
      <w:r w:rsidR="00BA1258">
        <w:rPr>
          <w:rFonts w:ascii="Arial" w:hAnsi="Arial" w:cs="Arial"/>
          <w:sz w:val="22"/>
        </w:rPr>
        <w:t xml:space="preserve">then submit </w:t>
      </w:r>
      <w:r w:rsidR="00D12DFB">
        <w:rPr>
          <w:rFonts w:ascii="Arial" w:hAnsi="Arial" w:cs="Arial"/>
          <w:sz w:val="22"/>
        </w:rPr>
        <w:t xml:space="preserve">in SIBR the </w:t>
      </w:r>
      <w:r w:rsidR="00BA1258">
        <w:rPr>
          <w:rFonts w:ascii="Arial" w:hAnsi="Arial" w:cs="Arial"/>
          <w:sz w:val="22"/>
        </w:rPr>
        <w:t xml:space="preserve">capacity </w:t>
      </w:r>
      <w:r w:rsidR="00D12DFB">
        <w:rPr>
          <w:rFonts w:ascii="Arial" w:hAnsi="Arial" w:cs="Arial"/>
          <w:sz w:val="22"/>
        </w:rPr>
        <w:t xml:space="preserve">they wish to release for the </w:t>
      </w:r>
      <w:r w:rsidR="000963C2">
        <w:rPr>
          <w:rFonts w:ascii="Arial" w:hAnsi="Arial" w:cs="Arial"/>
          <w:sz w:val="22"/>
        </w:rPr>
        <w:t xml:space="preserve">corresponding </w:t>
      </w:r>
      <w:r w:rsidR="00D12DFB">
        <w:rPr>
          <w:rFonts w:ascii="Arial" w:hAnsi="Arial" w:cs="Arial"/>
          <w:sz w:val="22"/>
        </w:rPr>
        <w:t>CRN and Transfer Location</w:t>
      </w:r>
      <w:r w:rsidR="00D12DFB" w:rsidRPr="00D12DFB">
        <w:rPr>
          <w:rFonts w:ascii="Arial" w:hAnsi="Arial" w:cs="Arial"/>
          <w:sz w:val="22"/>
        </w:rPr>
        <w:t xml:space="preserve"> </w:t>
      </w:r>
      <w:r w:rsidR="00D12DFB">
        <w:rPr>
          <w:rFonts w:ascii="Arial" w:hAnsi="Arial" w:cs="Arial"/>
          <w:sz w:val="22"/>
        </w:rPr>
        <w:t xml:space="preserve">specified by the EESC. </w:t>
      </w:r>
      <w:r w:rsidRPr="00746F54">
        <w:rPr>
          <w:rFonts w:ascii="Arial" w:hAnsi="Arial" w:cs="Arial"/>
          <w:sz w:val="22"/>
        </w:rPr>
        <w:t>After 9:00 am, SIBR will match TCs and released transfer capacity across the intertie, will define TSR pairs for each match and for each Trading Hour of the Trading Day, and will notify the respective TCSCs and EESCs. TCSCs may not take any further action. Since the transfer capacity on these TSRs is released before 9:00am, the respective TCSCs are eligible to receive 50% of the transfer revenue (unless a different ratio is specified in the Master File by BAA pair, intertie, and direction) on these transfers directly from the market operator (MO).</w:t>
      </w:r>
    </w:p>
    <w:p w14:paraId="73FB689A" w14:textId="1E2D0FB6" w:rsidR="000B47C0" w:rsidRPr="00746F54" w:rsidRDefault="000B47C0" w:rsidP="000B47C0">
      <w:pPr>
        <w:pStyle w:val="Paragraph"/>
        <w:numPr>
          <w:ilvl w:val="0"/>
          <w:numId w:val="52"/>
        </w:numPr>
        <w:spacing w:line="240" w:lineRule="auto"/>
        <w:jc w:val="both"/>
        <w:rPr>
          <w:rFonts w:ascii="Arial" w:hAnsi="Arial" w:cs="Arial"/>
          <w:sz w:val="22"/>
        </w:rPr>
      </w:pPr>
      <w:r w:rsidRPr="00746F54">
        <w:rPr>
          <w:rFonts w:ascii="Arial" w:hAnsi="Arial" w:cs="Arial"/>
          <w:b/>
          <w:sz w:val="22"/>
        </w:rPr>
        <w:t>Type 3:</w:t>
      </w:r>
      <w:r w:rsidRPr="00746F54">
        <w:rPr>
          <w:rFonts w:ascii="Arial" w:hAnsi="Arial" w:cs="Arial"/>
          <w:sz w:val="22"/>
        </w:rPr>
        <w:t xml:space="preserve"> RSE-eligible transfer capacity released by EDAM entities. The EESC on each side of a transfer must register the </w:t>
      </w:r>
      <w:proofErr w:type="gramStart"/>
      <w:r w:rsidRPr="00746F54">
        <w:rPr>
          <w:rFonts w:ascii="Arial" w:hAnsi="Arial" w:cs="Arial"/>
          <w:sz w:val="22"/>
        </w:rPr>
        <w:t>TSR for</w:t>
      </w:r>
      <w:proofErr w:type="gramEnd"/>
      <w:r w:rsidRPr="00746F54">
        <w:rPr>
          <w:rFonts w:ascii="Arial" w:hAnsi="Arial" w:cs="Arial"/>
          <w:sz w:val="22"/>
        </w:rPr>
        <w:t xml:space="preserve"> itself in the Master File. Then, the EESC may self-provide ancillary services (regulation up and down, spinning and non-spinning reserve) and/or release transfer capacity on the respective TSR. The ancillary services self-provisions and released transfer capacities must be equal across the transfer.</w:t>
      </w:r>
    </w:p>
    <w:p w14:paraId="0EE8DD46" w14:textId="77777777" w:rsidR="000B47C0" w:rsidRPr="00746F54" w:rsidRDefault="000B47C0" w:rsidP="000B47C0">
      <w:pPr>
        <w:pStyle w:val="Paragraph"/>
        <w:numPr>
          <w:ilvl w:val="0"/>
          <w:numId w:val="52"/>
        </w:numPr>
        <w:spacing w:line="240" w:lineRule="auto"/>
        <w:jc w:val="both"/>
        <w:rPr>
          <w:rFonts w:ascii="Arial" w:hAnsi="Arial" w:cs="Arial"/>
          <w:sz w:val="22"/>
        </w:rPr>
      </w:pPr>
      <w:r w:rsidRPr="00746F54">
        <w:rPr>
          <w:rFonts w:ascii="Arial" w:hAnsi="Arial" w:cs="Arial"/>
          <w:b/>
          <w:sz w:val="22"/>
        </w:rPr>
        <w:t>Type 4:</w:t>
      </w:r>
      <w:r w:rsidRPr="00746F54">
        <w:rPr>
          <w:rFonts w:ascii="Arial" w:hAnsi="Arial" w:cs="Arial"/>
          <w:sz w:val="22"/>
        </w:rPr>
        <w:t xml:space="preserve"> Non-RSE-eligible transfer capacity released by EDAM Entities. The EESC on each side of a transfer must register the </w:t>
      </w:r>
      <w:proofErr w:type="gramStart"/>
      <w:r w:rsidRPr="00746F54">
        <w:rPr>
          <w:rFonts w:ascii="Arial" w:hAnsi="Arial" w:cs="Arial"/>
          <w:sz w:val="22"/>
        </w:rPr>
        <w:t>TSR for</w:t>
      </w:r>
      <w:proofErr w:type="gramEnd"/>
      <w:r w:rsidRPr="00746F54">
        <w:rPr>
          <w:rFonts w:ascii="Arial" w:hAnsi="Arial" w:cs="Arial"/>
          <w:sz w:val="22"/>
        </w:rPr>
        <w:t xml:space="preserve"> itself in the Master File. Then, the EESC may release transfer capacity on the respective TSR. The released transfer capacities must be equal across the transfer.</w:t>
      </w:r>
    </w:p>
    <w:p w14:paraId="167D8DB0" w14:textId="7109C377" w:rsidR="000B47C0" w:rsidRPr="00746F54" w:rsidRDefault="000B47C0" w:rsidP="000B47C0">
      <w:pPr>
        <w:pStyle w:val="Paragraph"/>
        <w:rPr>
          <w:rFonts w:ascii="Arial" w:hAnsi="Arial" w:cs="Arial"/>
          <w:sz w:val="22"/>
        </w:rPr>
      </w:pPr>
      <w:r w:rsidRPr="00746F54">
        <w:rPr>
          <w:rFonts w:ascii="Arial" w:hAnsi="Arial" w:cs="Arial"/>
          <w:sz w:val="22"/>
        </w:rPr>
        <w:t>With the narrow exception of transfer capacity release under Type 2 transfers, the transfer revenue collected on a transfer is divided evenly (unless a different ratio is specified in the Master File by BAA pair, intertie, and direction) between the EESCs on each side of the transfer. The EDAM entities will then distribute that revenue to their TCs.</w:t>
      </w:r>
    </w:p>
    <w:p w14:paraId="69B168CF" w14:textId="77777777" w:rsidR="000B47C0" w:rsidRPr="00746F54" w:rsidRDefault="000B47C0" w:rsidP="000B47C0">
      <w:pPr>
        <w:rPr>
          <w:rFonts w:ascii="Arial" w:hAnsi="Arial" w:cs="Arial"/>
        </w:rPr>
      </w:pPr>
      <w:bookmarkStart w:id="52" w:name="_Toc191646285"/>
    </w:p>
    <w:p w14:paraId="560EBF2A" w14:textId="77777777" w:rsidR="000B47C0" w:rsidRPr="00746F54" w:rsidRDefault="000B47C0" w:rsidP="00636D40">
      <w:pPr>
        <w:pStyle w:val="Heading3"/>
        <w:rPr>
          <w:rFonts w:ascii="Arial" w:hAnsi="Arial" w:cs="Arial"/>
        </w:rPr>
      </w:pPr>
      <w:bookmarkStart w:id="53" w:name="_Toc211337879"/>
      <w:r w:rsidRPr="00746F54">
        <w:rPr>
          <w:rFonts w:ascii="Arial" w:hAnsi="Arial" w:cs="Arial"/>
        </w:rPr>
        <w:t>Transfer Attributes</w:t>
      </w:r>
      <w:bookmarkEnd w:id="52"/>
      <w:bookmarkEnd w:id="53"/>
    </w:p>
    <w:p w14:paraId="0EC892AA" w14:textId="65C90985" w:rsidR="000B47C0" w:rsidRPr="00746F54" w:rsidRDefault="000B47C0" w:rsidP="000B47C0">
      <w:pPr>
        <w:pStyle w:val="Paragraph"/>
        <w:spacing w:after="120"/>
        <w:rPr>
          <w:rFonts w:ascii="Arial" w:hAnsi="Arial" w:cs="Arial"/>
          <w:sz w:val="22"/>
        </w:rPr>
      </w:pPr>
      <w:r w:rsidRPr="00746F54">
        <w:rPr>
          <w:rFonts w:ascii="Arial" w:hAnsi="Arial" w:cs="Arial"/>
          <w:sz w:val="22"/>
        </w:rPr>
        <w:t>To facilitate the modeling and validation of transfers, Transfer Locations will be registered in the Master File for each relevant BAA pair, intertie, and direction, with the following attributes (note: attribute names below are indicative and may not match exactly with those in the Master File).</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3945"/>
        <w:gridCol w:w="5395"/>
      </w:tblGrid>
      <w:tr w:rsidR="000B47C0" w:rsidRPr="00746F54" w14:paraId="42313016" w14:textId="77777777" w:rsidTr="005477B0">
        <w:trPr>
          <w:cantSplit/>
        </w:trPr>
        <w:tc>
          <w:tcPr>
            <w:tcW w:w="0" w:type="auto"/>
            <w:gridSpan w:val="2"/>
            <w:tcBorders>
              <w:top w:val="single" w:sz="8" w:space="0" w:color="auto"/>
              <w:bottom w:val="nil"/>
            </w:tcBorders>
            <w:shd w:val="clear" w:color="auto" w:fill="D5DCE4" w:themeFill="text2" w:themeFillTint="33"/>
          </w:tcPr>
          <w:p w14:paraId="3FAF4685"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Transfer Location Definition</w:t>
            </w:r>
          </w:p>
        </w:tc>
      </w:tr>
      <w:tr w:rsidR="000B47C0" w:rsidRPr="00746F54" w14:paraId="0B4529F6"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740E98AD"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TRANSFER_LOCATION</w:t>
            </w:r>
          </w:p>
        </w:tc>
        <w:tc>
          <w:tcPr>
            <w:tcW w:w="0" w:type="auto"/>
            <w:tcBorders>
              <w:top w:val="single" w:sz="4" w:space="0" w:color="auto"/>
              <w:left w:val="single" w:sz="8" w:space="0" w:color="auto"/>
              <w:bottom w:val="single" w:sz="4" w:space="0" w:color="auto"/>
            </w:tcBorders>
          </w:tcPr>
          <w:p w14:paraId="6F041922" w14:textId="6597F61E"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transfer location identifier: FROM_BAA-TO_BAA-INTERTIE-DIRECTION</w:t>
            </w:r>
          </w:p>
        </w:tc>
      </w:tr>
      <w:tr w:rsidR="000B47C0" w:rsidRPr="00746F54" w14:paraId="1E1F6FAF"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7767788A"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lastRenderedPageBreak/>
              <w:t>FROM_BAA</w:t>
            </w:r>
          </w:p>
        </w:tc>
        <w:tc>
          <w:tcPr>
            <w:tcW w:w="0" w:type="auto"/>
            <w:tcBorders>
              <w:top w:val="single" w:sz="4" w:space="0" w:color="auto"/>
              <w:left w:val="single" w:sz="8" w:space="0" w:color="auto"/>
              <w:bottom w:val="single" w:sz="4" w:space="0" w:color="auto"/>
            </w:tcBorders>
          </w:tcPr>
          <w:p w14:paraId="57882C7C"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“from” BAA identifier; must be an EDAM BAA</w:t>
            </w:r>
          </w:p>
        </w:tc>
      </w:tr>
      <w:tr w:rsidR="000B47C0" w:rsidRPr="00746F54" w14:paraId="0878B704"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370C4FDC"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TO_BAA</w:t>
            </w:r>
          </w:p>
        </w:tc>
        <w:tc>
          <w:tcPr>
            <w:tcW w:w="0" w:type="auto"/>
            <w:tcBorders>
              <w:top w:val="single" w:sz="4" w:space="0" w:color="auto"/>
              <w:left w:val="single" w:sz="8" w:space="0" w:color="auto"/>
              <w:bottom w:val="single" w:sz="4" w:space="0" w:color="auto"/>
            </w:tcBorders>
          </w:tcPr>
          <w:p w14:paraId="6E60891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“to” BAA identifier; must be an EDAM BAA</w:t>
            </w:r>
          </w:p>
        </w:tc>
      </w:tr>
      <w:tr w:rsidR="000B47C0" w:rsidRPr="00746F54" w14:paraId="54DBF24C"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A11BEA4"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INTERTIE</w:t>
            </w:r>
          </w:p>
        </w:tc>
        <w:tc>
          <w:tcPr>
            <w:tcW w:w="0" w:type="auto"/>
            <w:tcBorders>
              <w:top w:val="single" w:sz="4" w:space="0" w:color="auto"/>
              <w:left w:val="single" w:sz="8" w:space="0" w:color="auto"/>
              <w:bottom w:val="single" w:sz="4" w:space="0" w:color="auto"/>
            </w:tcBorders>
          </w:tcPr>
          <w:p w14:paraId="35CB572C"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intertie identifier; must be an intertie of FROM_BAA or TO_BAA</w:t>
            </w:r>
          </w:p>
        </w:tc>
      </w:tr>
      <w:tr w:rsidR="000B47C0" w:rsidRPr="00746F54" w14:paraId="4EE06BF1"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4EB3A1C"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DIRECTION (E/I)</w:t>
            </w:r>
          </w:p>
        </w:tc>
        <w:tc>
          <w:tcPr>
            <w:tcW w:w="0" w:type="auto"/>
            <w:tcBorders>
              <w:top w:val="single" w:sz="4" w:space="0" w:color="auto"/>
              <w:left w:val="single" w:sz="8" w:space="0" w:color="auto"/>
              <w:bottom w:val="single" w:sz="4" w:space="0" w:color="auto"/>
            </w:tcBorders>
          </w:tcPr>
          <w:p w14:paraId="1F20F84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Transfer direction: export (E) from FROM_BAA or import (I) to FROM_BAA</w:t>
            </w:r>
          </w:p>
        </w:tc>
      </w:tr>
      <w:tr w:rsidR="000B47C0" w:rsidRPr="00746F54" w14:paraId="5AA9022C"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299DB57"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MATCHING_TRANSFER_LOCATION</w:t>
            </w:r>
          </w:p>
        </w:tc>
        <w:tc>
          <w:tcPr>
            <w:tcW w:w="0" w:type="auto"/>
            <w:tcBorders>
              <w:top w:val="single" w:sz="4" w:space="0" w:color="auto"/>
              <w:left w:val="single" w:sz="8" w:space="0" w:color="auto"/>
              <w:bottom w:val="single" w:sz="4" w:space="0" w:color="auto"/>
            </w:tcBorders>
          </w:tcPr>
          <w:p w14:paraId="33804377"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identifier of the matching transfer location where FROM_BAA, TO_BAA, FROM_BAA_TAG, TO_BAA_TAG, and DIRECTION are reversed, and INTERTIE is the same</w:t>
            </w:r>
          </w:p>
        </w:tc>
      </w:tr>
      <w:tr w:rsidR="000B47C0" w:rsidRPr="00746F54" w14:paraId="558E1F68" w14:textId="77777777" w:rsidTr="000B47C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20C538F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FROM_BAA_TAG</w:t>
            </w:r>
            <w:r w:rsidRPr="00746F54">
              <w:rPr>
                <w:rFonts w:ascii="Arial" w:hAnsi="Arial" w:cs="Arial"/>
                <w:sz w:val="22"/>
                <w:szCs w:val="22"/>
              </w:rPr>
              <w:br/>
              <w:t>TO_BAA_TAG</w:t>
            </w:r>
          </w:p>
        </w:tc>
        <w:tc>
          <w:tcPr>
            <w:tcW w:w="0" w:type="auto"/>
            <w:tcBorders>
              <w:top w:val="single" w:sz="4" w:space="0" w:color="auto"/>
              <w:left w:val="single" w:sz="8" w:space="0" w:color="auto"/>
              <w:bottom w:val="single" w:sz="4" w:space="0" w:color="auto"/>
            </w:tcBorders>
          </w:tcPr>
          <w:p w14:paraId="492618B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Either FROM_BAA_TAG or TO_BAA_TAG is “Y” and the other is “N”; it identifies the primary tagging authority (EESC) that must tag the energy schedule and/or capacity award and may provide an energy schedule update in RTM via RTSI</w:t>
            </w:r>
          </w:p>
        </w:tc>
      </w:tr>
      <w:tr w:rsidR="000B47C0" w:rsidRPr="00746F54" w14:paraId="5A6637F8" w14:textId="77777777" w:rsidTr="000B47C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4857C235"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FROM_BAA_RDF</w:t>
            </w:r>
          </w:p>
        </w:tc>
        <w:tc>
          <w:tcPr>
            <w:tcW w:w="0" w:type="auto"/>
            <w:tcBorders>
              <w:top w:val="single" w:sz="4" w:space="0" w:color="auto"/>
              <w:left w:val="single" w:sz="8" w:space="0" w:color="auto"/>
              <w:bottom w:val="single" w:sz="4" w:space="0" w:color="auto"/>
            </w:tcBorders>
          </w:tcPr>
          <w:p w14:paraId="69C23488" w14:textId="77777777" w:rsidR="000B47C0" w:rsidRPr="00746F54" w:rsidRDefault="000B47C0" w:rsidP="000B47C0">
            <w:pPr>
              <w:spacing w:after="0"/>
              <w:rPr>
                <w:rFonts w:ascii="Arial" w:hAnsi="Arial" w:cs="Arial"/>
                <w:sz w:val="22"/>
                <w:szCs w:val="22"/>
              </w:rPr>
            </w:pPr>
            <w:r w:rsidRPr="00746F54">
              <w:rPr>
                <w:rFonts w:ascii="Arial" w:eastAsiaTheme="minorHAnsi" w:hAnsi="Arial" w:cs="Arial"/>
                <w:sz w:val="22"/>
                <w:szCs w:val="22"/>
              </w:rPr>
              <w:t xml:space="preserve">Transfer Revenue Distribution Factor </w:t>
            </w:r>
            <w:r w:rsidRPr="00746F54">
              <w:rPr>
                <w:rFonts w:ascii="Arial" w:hAnsi="Arial" w:cs="Arial"/>
                <w:sz w:val="22"/>
                <w:szCs w:val="22"/>
              </w:rPr>
              <w:t>for the From BAA in the TSR pair</w:t>
            </w:r>
            <w:r w:rsidRPr="00746F54">
              <w:rPr>
                <w:rFonts w:ascii="Arial" w:eastAsiaTheme="minorHAnsi" w:hAnsi="Arial" w:cs="Arial"/>
                <w:sz w:val="22"/>
                <w:szCs w:val="22"/>
              </w:rPr>
              <w:t>: must be between 0 and 1 and</w:t>
            </w:r>
            <w:r w:rsidRPr="00746F54">
              <w:rPr>
                <w:rFonts w:ascii="Arial" w:hAnsi="Arial" w:cs="Arial"/>
                <w:sz w:val="22"/>
                <w:szCs w:val="22"/>
              </w:rPr>
              <w:t xml:space="preserve"> FROM and TO RDF must add to 1</w:t>
            </w:r>
            <w:r w:rsidRPr="00746F54">
              <w:rPr>
                <w:rFonts w:ascii="Arial" w:eastAsiaTheme="minorHAnsi" w:hAnsi="Arial" w:cs="Arial"/>
                <w:sz w:val="22"/>
                <w:szCs w:val="22"/>
              </w:rPr>
              <w:t>. The same RDF shall apply to all TSRs at an intertie between two BAAs</w:t>
            </w:r>
          </w:p>
        </w:tc>
      </w:tr>
      <w:tr w:rsidR="000B47C0" w:rsidRPr="00746F54" w14:paraId="57E172BE" w14:textId="77777777" w:rsidTr="005477B0">
        <w:trPr>
          <w:cantSplit/>
        </w:trPr>
        <w:tc>
          <w:tcPr>
            <w:tcW w:w="0" w:type="auto"/>
            <w:tcBorders>
              <w:top w:val="single" w:sz="4" w:space="0" w:color="auto"/>
              <w:bottom w:val="single" w:sz="8" w:space="0" w:color="auto"/>
              <w:right w:val="single" w:sz="8" w:space="0" w:color="auto"/>
            </w:tcBorders>
            <w:shd w:val="clear" w:color="auto" w:fill="E2EFD9" w:themeFill="accent6" w:themeFillTint="33"/>
          </w:tcPr>
          <w:p w14:paraId="1E7E1AE2"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TO_BAA_RDF</w:t>
            </w:r>
          </w:p>
        </w:tc>
        <w:tc>
          <w:tcPr>
            <w:tcW w:w="0" w:type="auto"/>
            <w:tcBorders>
              <w:top w:val="single" w:sz="4" w:space="0" w:color="auto"/>
              <w:left w:val="single" w:sz="8" w:space="0" w:color="auto"/>
              <w:bottom w:val="single" w:sz="4" w:space="0" w:color="auto"/>
            </w:tcBorders>
          </w:tcPr>
          <w:p w14:paraId="66DA184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Transfer Revenue Distribution Factor for the From BAA in the TSR pair: must be between 0 and FROM and TO RDF must add to 1. The same RDF shall apply to all TSRs at an intertie between two BAAs</w:t>
            </w:r>
          </w:p>
        </w:tc>
      </w:tr>
    </w:tbl>
    <w:p w14:paraId="7EFBC9E5" w14:textId="11C9CC2C" w:rsidR="000B47C0" w:rsidRPr="00746F54" w:rsidRDefault="000B47C0" w:rsidP="000B47C0">
      <w:pPr>
        <w:pStyle w:val="Paragraph"/>
        <w:spacing w:after="120"/>
        <w:rPr>
          <w:rFonts w:ascii="Arial" w:hAnsi="Arial" w:cs="Arial"/>
          <w:sz w:val="22"/>
          <w:vertAlign w:val="superscript"/>
        </w:rPr>
      </w:pPr>
      <w:r w:rsidRPr="00746F54">
        <w:rPr>
          <w:rFonts w:ascii="Arial" w:hAnsi="Arial" w:cs="Arial"/>
          <w:sz w:val="22"/>
        </w:rPr>
        <w:t>The following table lists the various attributes and associated rules, as well as the market bids and results for each TSR type.</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675"/>
        <w:gridCol w:w="1512"/>
        <w:gridCol w:w="1506"/>
        <w:gridCol w:w="2141"/>
        <w:gridCol w:w="1506"/>
      </w:tblGrid>
      <w:tr w:rsidR="000B47C0" w:rsidRPr="00746F54" w14:paraId="7EC7A4B3" w14:textId="77777777" w:rsidTr="005477B0">
        <w:trPr>
          <w:cantSplit/>
          <w:tblHeader/>
        </w:trPr>
        <w:tc>
          <w:tcPr>
            <w:tcW w:w="0" w:type="auto"/>
            <w:tcBorders>
              <w:top w:val="single" w:sz="8" w:space="0" w:color="auto"/>
              <w:bottom w:val="single" w:sz="8" w:space="0" w:color="auto"/>
              <w:right w:val="single" w:sz="8" w:space="0" w:color="auto"/>
            </w:tcBorders>
            <w:shd w:val="clear" w:color="auto" w:fill="D5DCE4" w:themeFill="text2" w:themeFillTint="33"/>
          </w:tcPr>
          <w:p w14:paraId="1C7D6575"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Attribute</w:t>
            </w:r>
          </w:p>
        </w:tc>
        <w:tc>
          <w:tcPr>
            <w:tcW w:w="0" w:type="auto"/>
            <w:tcBorders>
              <w:top w:val="single" w:sz="8" w:space="0" w:color="auto"/>
              <w:left w:val="single" w:sz="8" w:space="0" w:color="auto"/>
              <w:bottom w:val="single" w:sz="8" w:space="0" w:color="auto"/>
              <w:right w:val="single" w:sz="4" w:space="0" w:color="auto"/>
            </w:tcBorders>
            <w:shd w:val="clear" w:color="auto" w:fill="D5DCE4" w:themeFill="text2" w:themeFillTint="33"/>
          </w:tcPr>
          <w:p w14:paraId="11A9F85F"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Type 1</w:t>
            </w:r>
          </w:p>
        </w:tc>
        <w:tc>
          <w:tcPr>
            <w:tcW w:w="0" w:type="auto"/>
            <w:tcBorders>
              <w:top w:val="single" w:sz="8" w:space="0" w:color="auto"/>
              <w:left w:val="single" w:sz="4" w:space="0" w:color="auto"/>
              <w:bottom w:val="single" w:sz="8" w:space="0" w:color="auto"/>
              <w:right w:val="single" w:sz="4" w:space="0" w:color="auto"/>
            </w:tcBorders>
            <w:shd w:val="clear" w:color="auto" w:fill="D5DCE4" w:themeFill="text2" w:themeFillTint="33"/>
          </w:tcPr>
          <w:p w14:paraId="40AA1733"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Type 2</w:t>
            </w:r>
          </w:p>
        </w:tc>
        <w:tc>
          <w:tcPr>
            <w:tcW w:w="0" w:type="auto"/>
            <w:tcBorders>
              <w:top w:val="single" w:sz="8" w:space="0" w:color="auto"/>
              <w:left w:val="single" w:sz="4" w:space="0" w:color="auto"/>
              <w:bottom w:val="single" w:sz="8" w:space="0" w:color="auto"/>
              <w:right w:val="single" w:sz="4" w:space="0" w:color="auto"/>
            </w:tcBorders>
            <w:shd w:val="clear" w:color="auto" w:fill="D5DCE4" w:themeFill="text2" w:themeFillTint="33"/>
          </w:tcPr>
          <w:p w14:paraId="5848CC54"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Type 3</w:t>
            </w:r>
          </w:p>
        </w:tc>
        <w:tc>
          <w:tcPr>
            <w:tcW w:w="0" w:type="auto"/>
            <w:tcBorders>
              <w:top w:val="single" w:sz="8" w:space="0" w:color="auto"/>
              <w:left w:val="single" w:sz="4" w:space="0" w:color="auto"/>
              <w:bottom w:val="single" w:sz="8" w:space="0" w:color="auto"/>
            </w:tcBorders>
            <w:shd w:val="clear" w:color="auto" w:fill="D5DCE4" w:themeFill="text2" w:themeFillTint="33"/>
          </w:tcPr>
          <w:p w14:paraId="7BD39352" w14:textId="77777777" w:rsidR="000B47C0" w:rsidRPr="00746F54" w:rsidRDefault="000B47C0" w:rsidP="005477B0">
            <w:pPr>
              <w:pStyle w:val="Table"/>
              <w:rPr>
                <w:rFonts w:ascii="Arial" w:hAnsi="Arial" w:cs="Arial"/>
                <w:b/>
                <w:sz w:val="22"/>
                <w:szCs w:val="22"/>
              </w:rPr>
            </w:pPr>
            <w:r w:rsidRPr="00746F54">
              <w:rPr>
                <w:rFonts w:ascii="Arial" w:hAnsi="Arial" w:cs="Arial"/>
                <w:b/>
                <w:sz w:val="22"/>
                <w:szCs w:val="22"/>
              </w:rPr>
              <w:t>Type 4</w:t>
            </w:r>
          </w:p>
        </w:tc>
      </w:tr>
      <w:tr w:rsidR="000B47C0" w:rsidRPr="00746F54" w14:paraId="6D1A0911" w14:textId="77777777" w:rsidTr="005477B0">
        <w:trPr>
          <w:cantSplit/>
        </w:trPr>
        <w:tc>
          <w:tcPr>
            <w:tcW w:w="0" w:type="auto"/>
            <w:tcBorders>
              <w:top w:val="single" w:sz="8" w:space="0" w:color="auto"/>
              <w:bottom w:val="single" w:sz="4" w:space="0" w:color="auto"/>
              <w:right w:val="single" w:sz="8" w:space="0" w:color="auto"/>
            </w:tcBorders>
            <w:shd w:val="clear" w:color="auto" w:fill="E2EFD9" w:themeFill="accent6" w:themeFillTint="33"/>
          </w:tcPr>
          <w:p w14:paraId="4C06673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RES_ID</w:t>
            </w:r>
          </w:p>
        </w:tc>
        <w:tc>
          <w:tcPr>
            <w:tcW w:w="0" w:type="auto"/>
            <w:gridSpan w:val="4"/>
            <w:tcBorders>
              <w:top w:val="single" w:sz="8" w:space="0" w:color="auto"/>
              <w:left w:val="single" w:sz="8" w:space="0" w:color="auto"/>
              <w:bottom w:val="single" w:sz="4" w:space="0" w:color="auto"/>
            </w:tcBorders>
          </w:tcPr>
          <w:p w14:paraId="2CB3142F" w14:textId="73CBDCFF"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TSR identifier: SC_ID-FROM_BAA-TO_BAA-INTERTIE-DIRECTION-TSR_TYPE-</w:t>
            </w:r>
            <w:proofErr w:type="spellStart"/>
            <w:r w:rsidRPr="00746F54">
              <w:rPr>
                <w:rFonts w:ascii="Arial" w:hAnsi="Arial" w:cs="Arial"/>
                <w:sz w:val="22"/>
                <w:szCs w:val="22"/>
              </w:rPr>
              <w:t>nn</w:t>
            </w:r>
            <w:proofErr w:type="spellEnd"/>
            <w:r w:rsidRPr="00746F54">
              <w:rPr>
                <w:rFonts w:ascii="Arial" w:hAnsi="Arial" w:cs="Arial"/>
                <w:sz w:val="22"/>
                <w:szCs w:val="22"/>
              </w:rPr>
              <w:t>, where ‘</w:t>
            </w:r>
            <w:proofErr w:type="spellStart"/>
            <w:r w:rsidRPr="00746F54">
              <w:rPr>
                <w:rFonts w:ascii="Arial" w:hAnsi="Arial" w:cs="Arial"/>
                <w:sz w:val="22"/>
                <w:szCs w:val="22"/>
              </w:rPr>
              <w:t>nn</w:t>
            </w:r>
            <w:proofErr w:type="spellEnd"/>
            <w:r w:rsidRPr="00746F54">
              <w:rPr>
                <w:rFonts w:ascii="Arial" w:hAnsi="Arial" w:cs="Arial"/>
                <w:sz w:val="22"/>
                <w:szCs w:val="22"/>
              </w:rPr>
              <w:t>’ is an alphanumeric identifier to distinguish otherwise similar TSRs</w:t>
            </w:r>
          </w:p>
        </w:tc>
      </w:tr>
      <w:tr w:rsidR="000B47C0" w:rsidRPr="00746F54" w14:paraId="28A6B9CE"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ADAC1A5"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SC_ID</w:t>
            </w:r>
          </w:p>
        </w:tc>
        <w:tc>
          <w:tcPr>
            <w:tcW w:w="0" w:type="auto"/>
            <w:gridSpan w:val="2"/>
            <w:tcBorders>
              <w:top w:val="single" w:sz="4" w:space="0" w:color="auto"/>
              <w:left w:val="single" w:sz="8" w:space="0" w:color="auto"/>
              <w:bottom w:val="single" w:sz="4" w:space="0" w:color="auto"/>
              <w:right w:val="single" w:sz="4" w:space="0" w:color="auto"/>
            </w:tcBorders>
          </w:tcPr>
          <w:p w14:paraId="5543A324"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TCSC or “CISO”</w:t>
            </w:r>
          </w:p>
        </w:tc>
        <w:tc>
          <w:tcPr>
            <w:tcW w:w="0" w:type="auto"/>
            <w:gridSpan w:val="2"/>
            <w:tcBorders>
              <w:top w:val="single" w:sz="4" w:space="0" w:color="auto"/>
              <w:left w:val="single" w:sz="4" w:space="0" w:color="auto"/>
              <w:bottom w:val="single" w:sz="4" w:space="0" w:color="auto"/>
            </w:tcBorders>
          </w:tcPr>
          <w:p w14:paraId="1ED691DE"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EESC of FROM_BAA</w:t>
            </w:r>
          </w:p>
        </w:tc>
      </w:tr>
      <w:tr w:rsidR="000B47C0" w:rsidRPr="00746F54" w14:paraId="7A15ED2F"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F32EA9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TRANSFER_LOCATION</w:t>
            </w:r>
          </w:p>
        </w:tc>
        <w:tc>
          <w:tcPr>
            <w:tcW w:w="0" w:type="auto"/>
            <w:gridSpan w:val="4"/>
            <w:tcBorders>
              <w:top w:val="single" w:sz="4" w:space="0" w:color="auto"/>
              <w:left w:val="single" w:sz="8" w:space="0" w:color="auto"/>
              <w:bottom w:val="single" w:sz="4" w:space="0" w:color="auto"/>
            </w:tcBorders>
          </w:tcPr>
          <w:p w14:paraId="7F5EFCD1" w14:textId="6EEA0F48"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transfer location identifier: FROM_BAA-TO_BAA-INTERTIE-DIRECTION</w:t>
            </w:r>
          </w:p>
        </w:tc>
      </w:tr>
      <w:tr w:rsidR="000B47C0" w:rsidRPr="00746F54" w14:paraId="39813FE2"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36392FA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TSR_TYPE</w:t>
            </w:r>
          </w:p>
        </w:tc>
        <w:tc>
          <w:tcPr>
            <w:tcW w:w="0" w:type="auto"/>
            <w:tcBorders>
              <w:top w:val="single" w:sz="4" w:space="0" w:color="auto"/>
              <w:left w:val="single" w:sz="8" w:space="0" w:color="auto"/>
              <w:bottom w:val="single" w:sz="4" w:space="0" w:color="auto"/>
              <w:right w:val="single" w:sz="4" w:space="0" w:color="auto"/>
            </w:tcBorders>
          </w:tcPr>
          <w:p w14:paraId="4AE675E2"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064532E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2</w:t>
            </w:r>
          </w:p>
        </w:tc>
        <w:tc>
          <w:tcPr>
            <w:tcW w:w="0" w:type="auto"/>
            <w:tcBorders>
              <w:top w:val="single" w:sz="4" w:space="0" w:color="auto"/>
              <w:left w:val="single" w:sz="4" w:space="0" w:color="auto"/>
              <w:bottom w:val="single" w:sz="4" w:space="0" w:color="auto"/>
              <w:right w:val="single" w:sz="4" w:space="0" w:color="auto"/>
            </w:tcBorders>
          </w:tcPr>
          <w:p w14:paraId="27BD71B3"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3</w:t>
            </w:r>
          </w:p>
        </w:tc>
        <w:tc>
          <w:tcPr>
            <w:tcW w:w="0" w:type="auto"/>
            <w:tcBorders>
              <w:top w:val="single" w:sz="4" w:space="0" w:color="auto"/>
              <w:left w:val="single" w:sz="4" w:space="0" w:color="auto"/>
              <w:bottom w:val="single" w:sz="4" w:space="0" w:color="auto"/>
            </w:tcBorders>
          </w:tcPr>
          <w:p w14:paraId="29BFADF4"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4</w:t>
            </w:r>
          </w:p>
        </w:tc>
      </w:tr>
      <w:tr w:rsidR="000B47C0" w:rsidRPr="00746F54" w14:paraId="4F4987D8"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2E7C9D9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RSE_ELIGIBILITY</w:t>
            </w:r>
          </w:p>
        </w:tc>
        <w:tc>
          <w:tcPr>
            <w:tcW w:w="0" w:type="auto"/>
            <w:tcBorders>
              <w:top w:val="single" w:sz="4" w:space="0" w:color="auto"/>
              <w:left w:val="single" w:sz="8" w:space="0" w:color="auto"/>
              <w:bottom w:val="single" w:sz="4" w:space="0" w:color="auto"/>
              <w:right w:val="single" w:sz="4" w:space="0" w:color="auto"/>
            </w:tcBorders>
          </w:tcPr>
          <w:p w14:paraId="7DB57CB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Y</w:t>
            </w:r>
          </w:p>
        </w:tc>
        <w:tc>
          <w:tcPr>
            <w:tcW w:w="0" w:type="auto"/>
            <w:tcBorders>
              <w:top w:val="single" w:sz="4" w:space="0" w:color="auto"/>
              <w:left w:val="single" w:sz="4" w:space="0" w:color="auto"/>
              <w:bottom w:val="single" w:sz="4" w:space="0" w:color="auto"/>
              <w:right w:val="single" w:sz="4" w:space="0" w:color="auto"/>
            </w:tcBorders>
          </w:tcPr>
          <w:p w14:paraId="367D9B45"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w:t>
            </w:r>
          </w:p>
        </w:tc>
        <w:tc>
          <w:tcPr>
            <w:tcW w:w="0" w:type="auto"/>
            <w:tcBorders>
              <w:top w:val="single" w:sz="4" w:space="0" w:color="auto"/>
              <w:left w:val="single" w:sz="4" w:space="0" w:color="auto"/>
              <w:bottom w:val="single" w:sz="4" w:space="0" w:color="auto"/>
              <w:right w:val="single" w:sz="4" w:space="0" w:color="auto"/>
            </w:tcBorders>
          </w:tcPr>
          <w:p w14:paraId="0BBA8168"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Y</w:t>
            </w:r>
          </w:p>
        </w:tc>
        <w:tc>
          <w:tcPr>
            <w:tcW w:w="0" w:type="auto"/>
            <w:tcBorders>
              <w:top w:val="single" w:sz="4" w:space="0" w:color="auto"/>
              <w:left w:val="single" w:sz="4" w:space="0" w:color="auto"/>
              <w:bottom w:val="single" w:sz="4" w:space="0" w:color="auto"/>
            </w:tcBorders>
          </w:tcPr>
          <w:p w14:paraId="0D03365F"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w:t>
            </w:r>
          </w:p>
        </w:tc>
      </w:tr>
      <w:tr w:rsidR="000B47C0" w:rsidRPr="00746F54" w14:paraId="4A1D0924"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52ED3F3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CRN_ID</w:t>
            </w:r>
          </w:p>
        </w:tc>
        <w:tc>
          <w:tcPr>
            <w:tcW w:w="0" w:type="auto"/>
            <w:gridSpan w:val="2"/>
            <w:tcBorders>
              <w:top w:val="single" w:sz="4" w:space="0" w:color="auto"/>
              <w:left w:val="single" w:sz="8" w:space="0" w:color="auto"/>
              <w:bottom w:val="single" w:sz="4" w:space="0" w:color="auto"/>
            </w:tcBorders>
          </w:tcPr>
          <w:p w14:paraId="729DE67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Unique registered CRN identifier or “NONE”</w:t>
            </w:r>
          </w:p>
        </w:tc>
        <w:tc>
          <w:tcPr>
            <w:tcW w:w="0" w:type="auto"/>
            <w:gridSpan w:val="2"/>
            <w:tcBorders>
              <w:top w:val="single" w:sz="4" w:space="0" w:color="auto"/>
              <w:left w:val="single" w:sz="4" w:space="0" w:color="auto"/>
              <w:bottom w:val="single" w:sz="4" w:space="0" w:color="auto"/>
            </w:tcBorders>
          </w:tcPr>
          <w:p w14:paraId="2E9FF8E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Not Applicable</w:t>
            </w:r>
          </w:p>
        </w:tc>
      </w:tr>
      <w:tr w:rsidR="000B47C0" w:rsidRPr="00746F54" w14:paraId="0CDD22E0"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56F485A4"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MATCHING_SC_ID</w:t>
            </w:r>
          </w:p>
        </w:tc>
        <w:tc>
          <w:tcPr>
            <w:tcW w:w="0" w:type="auto"/>
            <w:gridSpan w:val="4"/>
            <w:tcBorders>
              <w:top w:val="single" w:sz="4" w:space="0" w:color="auto"/>
              <w:left w:val="single" w:sz="8" w:space="0" w:color="auto"/>
              <w:bottom w:val="single" w:sz="4" w:space="0" w:color="auto"/>
            </w:tcBorders>
          </w:tcPr>
          <w:p w14:paraId="7DB7BD1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The unique registered SC identifier or “CISO” of the matching TSR at the MATCHING_TRANSFER_LOCATION of the TRANSFER_LOCATION</w:t>
            </w:r>
          </w:p>
        </w:tc>
      </w:tr>
      <w:tr w:rsidR="000B47C0" w:rsidRPr="00746F54" w14:paraId="4484AC69"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1A8F9BD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MATCHING_RES_ID</w:t>
            </w:r>
          </w:p>
        </w:tc>
        <w:tc>
          <w:tcPr>
            <w:tcW w:w="0" w:type="auto"/>
            <w:gridSpan w:val="4"/>
            <w:tcBorders>
              <w:top w:val="single" w:sz="4" w:space="0" w:color="auto"/>
              <w:left w:val="single" w:sz="8" w:space="0" w:color="auto"/>
              <w:bottom w:val="single" w:sz="4" w:space="0" w:color="auto"/>
            </w:tcBorders>
          </w:tcPr>
          <w:p w14:paraId="125AE80B"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The unique TSR identifier of the matching TSR at the MATCHING_TRANSFER_LOCATION of the TRANSFER_LOCATION</w:t>
            </w:r>
          </w:p>
        </w:tc>
      </w:tr>
      <w:tr w:rsidR="000B47C0" w:rsidRPr="00746F54" w14:paraId="6F2BA891"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30D71DC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MAXIMUM_CAPACITY (MW)</w:t>
            </w:r>
          </w:p>
        </w:tc>
        <w:tc>
          <w:tcPr>
            <w:tcW w:w="0" w:type="auto"/>
            <w:gridSpan w:val="4"/>
            <w:tcBorders>
              <w:top w:val="single" w:sz="4" w:space="0" w:color="auto"/>
              <w:left w:val="single" w:sz="8" w:space="0" w:color="auto"/>
              <w:bottom w:val="single" w:sz="4" w:space="0" w:color="auto"/>
            </w:tcBorders>
          </w:tcPr>
          <w:p w14:paraId="479D0DEA"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Maximum transfer capacity that can be scheduled/awarded on this TSR</w:t>
            </w:r>
          </w:p>
        </w:tc>
      </w:tr>
      <w:tr w:rsidR="000B47C0" w:rsidRPr="00746F54" w14:paraId="415FABF1"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78EEA55A"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lastRenderedPageBreak/>
              <w:t>CAPACITY_LIMIT (MW)</w:t>
            </w:r>
          </w:p>
        </w:tc>
        <w:tc>
          <w:tcPr>
            <w:tcW w:w="0" w:type="auto"/>
            <w:tcBorders>
              <w:top w:val="single" w:sz="4" w:space="0" w:color="auto"/>
              <w:left w:val="single" w:sz="8" w:space="0" w:color="auto"/>
              <w:bottom w:val="single" w:sz="4" w:space="0" w:color="auto"/>
              <w:right w:val="single" w:sz="4" w:space="0" w:color="auto"/>
            </w:tcBorders>
          </w:tcPr>
          <w:p w14:paraId="764A7670"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Not Applicable</w:t>
            </w:r>
          </w:p>
        </w:tc>
        <w:tc>
          <w:tcPr>
            <w:tcW w:w="0" w:type="auto"/>
            <w:gridSpan w:val="3"/>
            <w:tcBorders>
              <w:top w:val="single" w:sz="4" w:space="0" w:color="auto"/>
              <w:left w:val="single" w:sz="4" w:space="0" w:color="auto"/>
              <w:bottom w:val="single" w:sz="4" w:space="0" w:color="auto"/>
            </w:tcBorders>
          </w:tcPr>
          <w:p w14:paraId="21AE938F"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Released transfer capacity; less than or equal to the Maximum Capacity</w:t>
            </w:r>
          </w:p>
        </w:tc>
      </w:tr>
      <w:tr w:rsidR="000B47C0" w:rsidRPr="00746F54" w14:paraId="31254F97"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0E5411F9"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Energy Self-Schedule (MW)</w:t>
            </w:r>
          </w:p>
        </w:tc>
        <w:tc>
          <w:tcPr>
            <w:tcW w:w="0" w:type="auto"/>
            <w:tcBorders>
              <w:top w:val="single" w:sz="4" w:space="0" w:color="auto"/>
              <w:left w:val="single" w:sz="8" w:space="0" w:color="auto"/>
              <w:bottom w:val="single" w:sz="4" w:space="0" w:color="auto"/>
              <w:right w:val="single" w:sz="4" w:space="0" w:color="auto"/>
            </w:tcBorders>
          </w:tcPr>
          <w:p w14:paraId="4A4233A1"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Less than or equal to the Maximum Capacity</w:t>
            </w:r>
          </w:p>
        </w:tc>
        <w:tc>
          <w:tcPr>
            <w:tcW w:w="0" w:type="auto"/>
            <w:gridSpan w:val="3"/>
            <w:tcBorders>
              <w:top w:val="single" w:sz="4" w:space="0" w:color="auto"/>
              <w:left w:val="single" w:sz="4" w:space="0" w:color="auto"/>
              <w:bottom w:val="single" w:sz="4" w:space="0" w:color="auto"/>
            </w:tcBorders>
          </w:tcPr>
          <w:p w14:paraId="68C38DD7"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Not Applicable</w:t>
            </w:r>
          </w:p>
        </w:tc>
      </w:tr>
      <w:tr w:rsidR="000B47C0" w:rsidRPr="00746F54" w14:paraId="538CB9DC" w14:textId="77777777" w:rsidTr="005477B0">
        <w:trPr>
          <w:cantSplit/>
        </w:trPr>
        <w:tc>
          <w:tcPr>
            <w:tcW w:w="0" w:type="auto"/>
            <w:gridSpan w:val="5"/>
            <w:tcBorders>
              <w:top w:val="single" w:sz="8" w:space="0" w:color="auto"/>
              <w:bottom w:val="nil"/>
            </w:tcBorders>
            <w:shd w:val="clear" w:color="auto" w:fill="EDEDED" w:themeFill="accent3" w:themeFillTint="33"/>
          </w:tcPr>
          <w:p w14:paraId="5F68D3A8" w14:textId="77777777" w:rsidR="000B47C0" w:rsidRPr="00746F54" w:rsidRDefault="000B47C0" w:rsidP="005477B0">
            <w:pPr>
              <w:pStyle w:val="Table"/>
              <w:rPr>
                <w:rFonts w:ascii="Arial" w:hAnsi="Arial" w:cs="Arial"/>
                <w:sz w:val="22"/>
                <w:szCs w:val="22"/>
              </w:rPr>
            </w:pPr>
            <w:r w:rsidRPr="00746F54">
              <w:rPr>
                <w:rFonts w:ascii="Arial" w:hAnsi="Arial" w:cs="Arial"/>
                <w:sz w:val="22"/>
                <w:szCs w:val="22"/>
              </w:rPr>
              <w:t>Market Results</w:t>
            </w:r>
          </w:p>
        </w:tc>
      </w:tr>
      <w:tr w:rsidR="000B47C0" w:rsidRPr="00746F54" w14:paraId="3241F966"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58C300FD"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Energy Schedule (MW)</w:t>
            </w:r>
          </w:p>
        </w:tc>
        <w:tc>
          <w:tcPr>
            <w:tcW w:w="0" w:type="auto"/>
            <w:gridSpan w:val="4"/>
            <w:tcBorders>
              <w:top w:val="single" w:sz="4" w:space="0" w:color="auto"/>
              <w:left w:val="single" w:sz="8" w:space="0" w:color="auto"/>
              <w:bottom w:val="single" w:sz="4" w:space="0" w:color="auto"/>
            </w:tcBorders>
          </w:tcPr>
          <w:p w14:paraId="4C09E278"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IFM energy schedule</w:t>
            </w:r>
          </w:p>
        </w:tc>
      </w:tr>
      <w:tr w:rsidR="000B47C0" w:rsidRPr="00746F54" w14:paraId="0067A1CD" w14:textId="77777777" w:rsidTr="005477B0">
        <w:trPr>
          <w:cantSplit/>
        </w:trPr>
        <w:tc>
          <w:tcPr>
            <w:tcW w:w="0" w:type="auto"/>
            <w:tcBorders>
              <w:top w:val="single" w:sz="4" w:space="0" w:color="auto"/>
              <w:bottom w:val="single" w:sz="4" w:space="0" w:color="auto"/>
              <w:right w:val="single" w:sz="8" w:space="0" w:color="auto"/>
            </w:tcBorders>
            <w:shd w:val="clear" w:color="auto" w:fill="E2EFD9" w:themeFill="accent6" w:themeFillTint="33"/>
          </w:tcPr>
          <w:p w14:paraId="280995CC"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Capacity Award (MW)</w:t>
            </w:r>
          </w:p>
        </w:tc>
        <w:tc>
          <w:tcPr>
            <w:tcW w:w="0" w:type="auto"/>
            <w:tcBorders>
              <w:top w:val="single" w:sz="4" w:space="0" w:color="auto"/>
              <w:left w:val="single" w:sz="8" w:space="0" w:color="auto"/>
              <w:bottom w:val="single" w:sz="4" w:space="0" w:color="auto"/>
              <w:right w:val="single" w:sz="4" w:space="0" w:color="auto"/>
            </w:tcBorders>
          </w:tcPr>
          <w:p w14:paraId="12C4817D" w14:textId="77777777" w:rsidR="000B47C0" w:rsidRPr="00746F54" w:rsidRDefault="000B47C0" w:rsidP="005477B0">
            <w:pPr>
              <w:pStyle w:val="Table"/>
              <w:jc w:val="left"/>
              <w:rPr>
                <w:rFonts w:ascii="Arial" w:hAnsi="Arial" w:cs="Arial"/>
                <w:sz w:val="22"/>
                <w:szCs w:val="22"/>
              </w:rPr>
            </w:pPr>
            <w:r w:rsidRPr="00746F54">
              <w:rPr>
                <w:rFonts w:ascii="Arial" w:hAnsi="Arial" w:cs="Arial"/>
                <w:sz w:val="22"/>
                <w:szCs w:val="22"/>
              </w:rPr>
              <w:t>Not Applicable</w:t>
            </w:r>
          </w:p>
        </w:tc>
        <w:tc>
          <w:tcPr>
            <w:tcW w:w="0" w:type="auto"/>
            <w:tcBorders>
              <w:top w:val="single" w:sz="4" w:space="0" w:color="auto"/>
              <w:left w:val="single" w:sz="4" w:space="0" w:color="auto"/>
              <w:bottom w:val="single" w:sz="4" w:space="0" w:color="auto"/>
              <w:right w:val="single" w:sz="4" w:space="0" w:color="auto"/>
            </w:tcBorders>
          </w:tcPr>
          <w:p w14:paraId="17A84BBD" w14:textId="77777777" w:rsidR="000B47C0" w:rsidRPr="00746F54" w:rsidRDefault="000B47C0" w:rsidP="005477B0">
            <w:pPr>
              <w:pStyle w:val="Table"/>
              <w:numPr>
                <w:ilvl w:val="0"/>
                <w:numId w:val="56"/>
              </w:numPr>
              <w:ind w:left="360"/>
              <w:jc w:val="left"/>
              <w:rPr>
                <w:rFonts w:ascii="Arial" w:hAnsi="Arial" w:cs="Arial"/>
                <w:sz w:val="22"/>
                <w:szCs w:val="22"/>
              </w:rPr>
            </w:pPr>
            <w:r w:rsidRPr="00746F54">
              <w:rPr>
                <w:rFonts w:ascii="Arial" w:hAnsi="Arial" w:cs="Arial"/>
                <w:sz w:val="22"/>
                <w:szCs w:val="22"/>
              </w:rPr>
              <w:t>IFM IRU/IRD award</w:t>
            </w:r>
          </w:p>
          <w:p w14:paraId="2E6E5566" w14:textId="77777777" w:rsidR="000B47C0" w:rsidRPr="00746F54" w:rsidRDefault="000B47C0" w:rsidP="005477B0">
            <w:pPr>
              <w:pStyle w:val="Table"/>
              <w:numPr>
                <w:ilvl w:val="0"/>
                <w:numId w:val="56"/>
              </w:numPr>
              <w:ind w:left="360"/>
              <w:jc w:val="left"/>
              <w:rPr>
                <w:rFonts w:ascii="Arial" w:hAnsi="Arial" w:cs="Arial"/>
                <w:sz w:val="22"/>
                <w:szCs w:val="22"/>
              </w:rPr>
            </w:pPr>
            <w:r w:rsidRPr="00746F54">
              <w:rPr>
                <w:rFonts w:ascii="Arial" w:hAnsi="Arial" w:cs="Arial"/>
                <w:sz w:val="22"/>
                <w:szCs w:val="22"/>
              </w:rPr>
              <w:t>RUC RCU award</w:t>
            </w:r>
          </w:p>
        </w:tc>
        <w:tc>
          <w:tcPr>
            <w:tcW w:w="0" w:type="auto"/>
            <w:tcBorders>
              <w:top w:val="single" w:sz="4" w:space="0" w:color="auto"/>
              <w:left w:val="single" w:sz="4" w:space="0" w:color="auto"/>
              <w:bottom w:val="single" w:sz="4" w:space="0" w:color="auto"/>
              <w:right w:val="single" w:sz="4" w:space="0" w:color="auto"/>
            </w:tcBorders>
          </w:tcPr>
          <w:p w14:paraId="59CEE552" w14:textId="77777777" w:rsidR="000B47C0" w:rsidRPr="00746F54" w:rsidRDefault="000B47C0" w:rsidP="005477B0">
            <w:pPr>
              <w:pStyle w:val="Table"/>
              <w:numPr>
                <w:ilvl w:val="0"/>
                <w:numId w:val="56"/>
              </w:numPr>
              <w:ind w:left="360"/>
              <w:jc w:val="left"/>
              <w:rPr>
                <w:rFonts w:ascii="Arial" w:hAnsi="Arial" w:cs="Arial"/>
                <w:sz w:val="22"/>
                <w:szCs w:val="22"/>
              </w:rPr>
            </w:pPr>
            <w:r w:rsidRPr="00746F54">
              <w:rPr>
                <w:rFonts w:ascii="Arial" w:hAnsi="Arial" w:cs="Arial"/>
                <w:sz w:val="22"/>
                <w:szCs w:val="22"/>
              </w:rPr>
              <w:t>IFM RU/RD/SR/NR award</w:t>
            </w:r>
          </w:p>
          <w:p w14:paraId="71406EA0" w14:textId="77777777" w:rsidR="000B47C0" w:rsidRPr="00746F54" w:rsidRDefault="000B47C0" w:rsidP="005477B0">
            <w:pPr>
              <w:pStyle w:val="Table"/>
              <w:numPr>
                <w:ilvl w:val="0"/>
                <w:numId w:val="55"/>
              </w:numPr>
              <w:ind w:left="360"/>
              <w:jc w:val="left"/>
              <w:rPr>
                <w:rFonts w:ascii="Arial" w:hAnsi="Arial" w:cs="Arial"/>
                <w:sz w:val="22"/>
                <w:szCs w:val="22"/>
              </w:rPr>
            </w:pPr>
            <w:r w:rsidRPr="00746F54">
              <w:rPr>
                <w:rFonts w:ascii="Arial" w:hAnsi="Arial" w:cs="Arial"/>
                <w:sz w:val="22"/>
                <w:szCs w:val="22"/>
              </w:rPr>
              <w:t>IFM IRU/IRD award</w:t>
            </w:r>
          </w:p>
          <w:p w14:paraId="4FE0E949" w14:textId="77777777" w:rsidR="000B47C0" w:rsidRPr="00746F54" w:rsidRDefault="000B47C0" w:rsidP="005477B0">
            <w:pPr>
              <w:pStyle w:val="Table"/>
              <w:numPr>
                <w:ilvl w:val="0"/>
                <w:numId w:val="55"/>
              </w:numPr>
              <w:ind w:left="360"/>
              <w:jc w:val="left"/>
              <w:rPr>
                <w:rFonts w:ascii="Arial" w:hAnsi="Arial" w:cs="Arial"/>
                <w:sz w:val="22"/>
                <w:szCs w:val="22"/>
              </w:rPr>
            </w:pPr>
            <w:r w:rsidRPr="00746F54">
              <w:rPr>
                <w:rFonts w:ascii="Arial" w:hAnsi="Arial" w:cs="Arial"/>
                <w:sz w:val="22"/>
                <w:szCs w:val="22"/>
              </w:rPr>
              <w:t>RUC RCU award</w:t>
            </w:r>
          </w:p>
        </w:tc>
        <w:tc>
          <w:tcPr>
            <w:tcW w:w="0" w:type="auto"/>
            <w:tcBorders>
              <w:top w:val="single" w:sz="4" w:space="0" w:color="auto"/>
              <w:left w:val="single" w:sz="4" w:space="0" w:color="auto"/>
              <w:bottom w:val="single" w:sz="4" w:space="0" w:color="auto"/>
            </w:tcBorders>
          </w:tcPr>
          <w:p w14:paraId="0262646C" w14:textId="77777777" w:rsidR="000B47C0" w:rsidRPr="00746F54" w:rsidRDefault="000B47C0" w:rsidP="005477B0">
            <w:pPr>
              <w:pStyle w:val="Table"/>
              <w:numPr>
                <w:ilvl w:val="0"/>
                <w:numId w:val="55"/>
              </w:numPr>
              <w:ind w:left="360"/>
              <w:jc w:val="left"/>
              <w:rPr>
                <w:rFonts w:ascii="Arial" w:hAnsi="Arial" w:cs="Arial"/>
                <w:sz w:val="22"/>
                <w:szCs w:val="22"/>
              </w:rPr>
            </w:pPr>
            <w:r w:rsidRPr="00746F54">
              <w:rPr>
                <w:rFonts w:ascii="Arial" w:hAnsi="Arial" w:cs="Arial"/>
                <w:sz w:val="22"/>
                <w:szCs w:val="22"/>
              </w:rPr>
              <w:t>IFM IRU/IRD award</w:t>
            </w:r>
          </w:p>
          <w:p w14:paraId="13B340FA" w14:textId="77777777" w:rsidR="000B47C0" w:rsidRPr="00746F54" w:rsidRDefault="000B47C0" w:rsidP="005477B0">
            <w:pPr>
              <w:pStyle w:val="Table"/>
              <w:numPr>
                <w:ilvl w:val="0"/>
                <w:numId w:val="55"/>
              </w:numPr>
              <w:ind w:left="360"/>
              <w:jc w:val="left"/>
              <w:rPr>
                <w:rFonts w:ascii="Arial" w:hAnsi="Arial" w:cs="Arial"/>
                <w:sz w:val="22"/>
                <w:szCs w:val="22"/>
              </w:rPr>
            </w:pPr>
            <w:r w:rsidRPr="00746F54">
              <w:rPr>
                <w:rFonts w:ascii="Arial" w:hAnsi="Arial" w:cs="Arial"/>
                <w:sz w:val="22"/>
                <w:szCs w:val="22"/>
              </w:rPr>
              <w:t>RUC RCU award</w:t>
            </w:r>
          </w:p>
          <w:p w14:paraId="5ED08412" w14:textId="77777777" w:rsidR="000B47C0" w:rsidRPr="00746F54" w:rsidRDefault="000B47C0" w:rsidP="000B47C0">
            <w:pPr>
              <w:pStyle w:val="Table"/>
              <w:ind w:left="360"/>
              <w:jc w:val="left"/>
              <w:rPr>
                <w:rFonts w:ascii="Arial" w:hAnsi="Arial" w:cs="Arial"/>
                <w:sz w:val="22"/>
                <w:szCs w:val="22"/>
              </w:rPr>
            </w:pPr>
          </w:p>
        </w:tc>
      </w:tr>
    </w:tbl>
    <w:p w14:paraId="5CEB7145" w14:textId="77777777" w:rsidR="000B47C0" w:rsidRPr="00746F54" w:rsidRDefault="000B47C0" w:rsidP="000B47C0">
      <w:pPr>
        <w:pStyle w:val="ParaText"/>
        <w:rPr>
          <w:rFonts w:ascii="Arial" w:hAnsi="Arial" w:cs="Arial"/>
        </w:rPr>
      </w:pPr>
      <w:bookmarkStart w:id="54" w:name="_Toc209781111"/>
      <w:bookmarkStart w:id="55" w:name="_Ref191566279"/>
      <w:bookmarkStart w:id="56" w:name="_Toc191646286"/>
      <w:bookmarkEnd w:id="54"/>
    </w:p>
    <w:p w14:paraId="4F654E50" w14:textId="77777777" w:rsidR="000B47C0" w:rsidRPr="00746F54" w:rsidRDefault="000B47C0" w:rsidP="00636D40">
      <w:pPr>
        <w:pStyle w:val="Heading3"/>
        <w:rPr>
          <w:rFonts w:ascii="Arial" w:hAnsi="Arial" w:cs="Arial"/>
        </w:rPr>
      </w:pPr>
      <w:bookmarkStart w:id="57" w:name="_Toc211337880"/>
      <w:r w:rsidRPr="00746F54">
        <w:rPr>
          <w:rFonts w:ascii="Arial" w:hAnsi="Arial" w:cs="Arial"/>
        </w:rPr>
        <w:t>Transfer Definition and Validation</w:t>
      </w:r>
      <w:bookmarkEnd w:id="55"/>
      <w:bookmarkEnd w:id="56"/>
      <w:bookmarkEnd w:id="57"/>
    </w:p>
    <w:p w14:paraId="7C7A42A1" w14:textId="09839CE4" w:rsidR="000B47C0" w:rsidRPr="00746F54" w:rsidRDefault="000B47C0" w:rsidP="000B47C0">
      <w:pPr>
        <w:pStyle w:val="Paragraph"/>
        <w:rPr>
          <w:rFonts w:ascii="Arial" w:hAnsi="Arial" w:cs="Arial"/>
          <w:sz w:val="22"/>
        </w:rPr>
      </w:pPr>
      <w:r w:rsidRPr="00746F54">
        <w:rPr>
          <w:rFonts w:ascii="Arial" w:hAnsi="Arial" w:cs="Arial"/>
          <w:sz w:val="22"/>
        </w:rPr>
        <w:t>All TSR types, except for the transient Type 1 TSRs defined by TCSCs in SIBR and Type 2 TSRs that result from SIBR matching, must be defined by the EESC on each side of a transfer by registering the TSR in the Master File. In all cases, the TSR must be defined with all valid required attributes, as described above in 18.3.</w:t>
      </w:r>
    </w:p>
    <w:p w14:paraId="24D37C3E" w14:textId="5486CF9E" w:rsidR="000B47C0" w:rsidRPr="00746F54" w:rsidRDefault="000B47C0" w:rsidP="000B47C0">
      <w:pPr>
        <w:pStyle w:val="Paragraph"/>
        <w:rPr>
          <w:rFonts w:ascii="Arial" w:hAnsi="Arial" w:cs="Arial"/>
          <w:sz w:val="22"/>
        </w:rPr>
      </w:pPr>
      <w:r w:rsidRPr="00746F54">
        <w:rPr>
          <w:rFonts w:ascii="Arial" w:hAnsi="Arial" w:cs="Arial"/>
          <w:sz w:val="22"/>
        </w:rPr>
        <w:t>The TSR definition, either in the Master File or in SIBR, will be cross validated with the definition of its matching TSR (MATCHING_RES_ID) that is defined by the EESC or TCSC on the other side of the transfer. More specifically:</w:t>
      </w:r>
    </w:p>
    <w:p w14:paraId="60522B44" w14:textId="77777777" w:rsidR="000B47C0" w:rsidRPr="00746F54" w:rsidRDefault="000B47C0" w:rsidP="000B47C0">
      <w:pPr>
        <w:pStyle w:val="Paragraph"/>
        <w:numPr>
          <w:ilvl w:val="0"/>
          <w:numId w:val="54"/>
        </w:numPr>
        <w:spacing w:line="240" w:lineRule="auto"/>
        <w:jc w:val="both"/>
        <w:rPr>
          <w:rFonts w:ascii="Arial" w:hAnsi="Arial" w:cs="Arial"/>
          <w:sz w:val="22"/>
        </w:rPr>
      </w:pPr>
      <w:r w:rsidRPr="00746F54">
        <w:rPr>
          <w:rFonts w:ascii="Arial" w:hAnsi="Arial" w:cs="Arial"/>
          <w:sz w:val="22"/>
        </w:rPr>
        <w:t>RES_ID must be the same as the MATCHING_RES_ID in the matching TSR definition.</w:t>
      </w:r>
    </w:p>
    <w:p w14:paraId="4B52BA40" w14:textId="77777777" w:rsidR="000B47C0" w:rsidRPr="00746F54" w:rsidRDefault="000B47C0" w:rsidP="000B47C0">
      <w:pPr>
        <w:pStyle w:val="Paragraph"/>
        <w:numPr>
          <w:ilvl w:val="0"/>
          <w:numId w:val="54"/>
        </w:numPr>
        <w:spacing w:line="240" w:lineRule="auto"/>
        <w:jc w:val="both"/>
        <w:rPr>
          <w:rFonts w:ascii="Arial" w:hAnsi="Arial" w:cs="Arial"/>
          <w:sz w:val="22"/>
        </w:rPr>
      </w:pPr>
      <w:r w:rsidRPr="00746F54">
        <w:rPr>
          <w:rFonts w:ascii="Arial" w:hAnsi="Arial" w:cs="Arial"/>
          <w:sz w:val="22"/>
        </w:rPr>
        <w:t>SC_ID must be the same as the MATCHING_SC_ID in the matching TSR definition.</w:t>
      </w:r>
    </w:p>
    <w:p w14:paraId="3FC00E54" w14:textId="77777777" w:rsidR="000B47C0" w:rsidRPr="00746F54" w:rsidRDefault="000B47C0" w:rsidP="000B47C0">
      <w:pPr>
        <w:pStyle w:val="Paragraph"/>
        <w:numPr>
          <w:ilvl w:val="0"/>
          <w:numId w:val="54"/>
        </w:numPr>
        <w:spacing w:line="240" w:lineRule="auto"/>
        <w:jc w:val="both"/>
        <w:rPr>
          <w:rFonts w:ascii="Arial" w:hAnsi="Arial" w:cs="Arial"/>
          <w:sz w:val="22"/>
        </w:rPr>
      </w:pPr>
      <w:r w:rsidRPr="00746F54">
        <w:rPr>
          <w:rFonts w:ascii="Arial" w:hAnsi="Arial" w:cs="Arial"/>
          <w:sz w:val="22"/>
        </w:rPr>
        <w:t>TRANSFER_LOCATION must be the same as the MATCHING_TRANSFER_LOCATION in the matching TSR definition.</w:t>
      </w:r>
    </w:p>
    <w:p w14:paraId="45F287A1" w14:textId="77777777" w:rsidR="000B47C0" w:rsidRPr="00746F54" w:rsidRDefault="000B47C0" w:rsidP="000B47C0">
      <w:pPr>
        <w:pStyle w:val="Paragraph"/>
        <w:numPr>
          <w:ilvl w:val="0"/>
          <w:numId w:val="54"/>
        </w:numPr>
        <w:spacing w:line="240" w:lineRule="auto"/>
        <w:jc w:val="both"/>
        <w:rPr>
          <w:rFonts w:ascii="Arial" w:hAnsi="Arial" w:cs="Arial"/>
          <w:sz w:val="22"/>
        </w:rPr>
      </w:pPr>
      <w:r w:rsidRPr="00746F54">
        <w:rPr>
          <w:rFonts w:ascii="Arial" w:hAnsi="Arial" w:cs="Arial"/>
          <w:sz w:val="22"/>
        </w:rPr>
        <w:t>TSR_TYPE must be the same in the matching TSR definition.</w:t>
      </w:r>
    </w:p>
    <w:p w14:paraId="044A0089" w14:textId="77777777" w:rsidR="000B47C0" w:rsidRDefault="000B47C0" w:rsidP="000B47C0">
      <w:pPr>
        <w:pStyle w:val="Paragraph"/>
        <w:numPr>
          <w:ilvl w:val="0"/>
          <w:numId w:val="54"/>
        </w:numPr>
        <w:spacing w:line="240" w:lineRule="auto"/>
        <w:jc w:val="both"/>
        <w:rPr>
          <w:rFonts w:ascii="Arial" w:hAnsi="Arial" w:cs="Arial"/>
          <w:sz w:val="22"/>
        </w:rPr>
      </w:pPr>
      <w:r w:rsidRPr="00746F54">
        <w:rPr>
          <w:rFonts w:ascii="Arial" w:hAnsi="Arial" w:cs="Arial"/>
          <w:sz w:val="22"/>
        </w:rPr>
        <w:t>MAXIMUM_CAPACITY must be the same in the matching TSR definition, otherwise the lower value prevails.</w:t>
      </w:r>
    </w:p>
    <w:p w14:paraId="48327733" w14:textId="77777777" w:rsidR="007D24FD" w:rsidRPr="00746F54" w:rsidRDefault="007D24FD" w:rsidP="007D24FD">
      <w:pPr>
        <w:pStyle w:val="Paragraph"/>
        <w:spacing w:line="240" w:lineRule="auto"/>
        <w:ind w:left="720"/>
        <w:jc w:val="both"/>
        <w:rPr>
          <w:rFonts w:ascii="Arial" w:hAnsi="Arial" w:cs="Arial"/>
          <w:sz w:val="22"/>
        </w:rPr>
      </w:pPr>
    </w:p>
    <w:p w14:paraId="26034177" w14:textId="77777777" w:rsidR="000B47C0" w:rsidRPr="00746F54" w:rsidRDefault="000B47C0" w:rsidP="00636D40">
      <w:pPr>
        <w:pStyle w:val="Heading3"/>
        <w:rPr>
          <w:rFonts w:ascii="Arial" w:hAnsi="Arial" w:cs="Arial"/>
          <w:sz w:val="22"/>
        </w:rPr>
      </w:pPr>
      <w:bookmarkStart w:id="58" w:name="_Toc211337881"/>
      <w:r w:rsidRPr="00746F54">
        <w:rPr>
          <w:rFonts w:ascii="Arial" w:hAnsi="Arial" w:cs="Arial"/>
        </w:rPr>
        <w:t>Transient TSRs</w:t>
      </w:r>
      <w:bookmarkEnd w:id="58"/>
    </w:p>
    <w:p w14:paraId="40F0E944" w14:textId="23C9F9B5" w:rsidR="000B47C0" w:rsidRPr="00746F54" w:rsidRDefault="000B47C0" w:rsidP="000B47C0">
      <w:pPr>
        <w:pStyle w:val="Paragraph"/>
        <w:rPr>
          <w:rFonts w:ascii="Arial" w:hAnsi="Arial" w:cs="Arial"/>
          <w:sz w:val="22"/>
        </w:rPr>
      </w:pPr>
      <w:r w:rsidRPr="00746F54">
        <w:rPr>
          <w:rFonts w:ascii="Arial" w:hAnsi="Arial" w:cs="Arial"/>
          <w:sz w:val="22"/>
        </w:rPr>
        <w:t xml:space="preserve">Transient TSRs are Type 1 and Type 2 TSRs that are not registered in the MF; instead, these TSRs are defined in SIBR for a specific trade date. The TSR definition in SIBR persists only for the Trading Day; it must be redefined every day if needed until it is registered in the Master File. An EESC may submit in SIBR a TSR definition for a registered TSR in the Master File to indicate a derate on the registered maximum capacity. An EESC may also resubmit a TSR definition in SIBR to update the maximum capacity, subject to cross revalidation; however, </w:t>
      </w:r>
      <w:r w:rsidRPr="00746F54">
        <w:rPr>
          <w:rFonts w:ascii="Arial" w:hAnsi="Arial" w:cs="Arial"/>
          <w:sz w:val="22"/>
        </w:rPr>
        <w:lastRenderedPageBreak/>
        <w:t>derates are only accepted before 9:00am. After successful cross validation of TSR definitions, the valid TSRs are available for submission of TSR bids by the respective SCs, who will be notified accordingly.</w:t>
      </w:r>
    </w:p>
    <w:p w14:paraId="75319CA8" w14:textId="77777777" w:rsidR="000B47C0" w:rsidRPr="00746F54" w:rsidRDefault="000B47C0" w:rsidP="000B47C0">
      <w:pPr>
        <w:pStyle w:val="Paragraph"/>
        <w:rPr>
          <w:rFonts w:ascii="Arial" w:hAnsi="Arial" w:cs="Arial"/>
          <w:sz w:val="22"/>
        </w:rPr>
      </w:pPr>
    </w:p>
    <w:p w14:paraId="0B53D9C3" w14:textId="77777777" w:rsidR="000B47C0" w:rsidRPr="00746F54" w:rsidRDefault="000B47C0" w:rsidP="00947B7F">
      <w:pPr>
        <w:pStyle w:val="Heading4"/>
        <w:rPr>
          <w:rFonts w:ascii="Arial" w:hAnsi="Arial" w:cs="Arial"/>
        </w:rPr>
      </w:pPr>
      <w:bookmarkStart w:id="59" w:name="_Ref191566201"/>
      <w:bookmarkStart w:id="60" w:name="_Toc191646287"/>
      <w:r w:rsidRPr="00746F54">
        <w:rPr>
          <w:rFonts w:ascii="Arial" w:hAnsi="Arial" w:cs="Arial"/>
        </w:rPr>
        <w:t>Transmission Rights List at Transfer Locations</w:t>
      </w:r>
      <w:bookmarkEnd w:id="59"/>
      <w:bookmarkEnd w:id="60"/>
    </w:p>
    <w:p w14:paraId="2AD5C3B7" w14:textId="77777777" w:rsidR="000B47C0" w:rsidRPr="00746F54" w:rsidRDefault="000B47C0" w:rsidP="000B47C0">
      <w:pPr>
        <w:pStyle w:val="Paragraph"/>
        <w:rPr>
          <w:rFonts w:ascii="Arial" w:hAnsi="Arial" w:cs="Arial"/>
          <w:sz w:val="22"/>
        </w:rPr>
      </w:pPr>
      <w:r w:rsidRPr="00746F54">
        <w:rPr>
          <w:rFonts w:ascii="Arial" w:hAnsi="Arial" w:cs="Arial"/>
          <w:sz w:val="22"/>
        </w:rPr>
        <w:t>EESCs on each side of a transfer may rely on TCSCs to define Type 1 TSRs in SIBR, and on SIBR to define Type 2 TSRs instead of registering these TSRs in the Master File. For this purpose, an EESC may submit in SIBR at a transfer location a list of TCSCs and associated transmission right capacity by CRN before 9:00am:</w:t>
      </w:r>
    </w:p>
    <w:p w14:paraId="65C20DF5"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SC_ID</w:t>
      </w:r>
    </w:p>
    <w:p w14:paraId="609E5EF9"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Registered TCSC.</w:t>
      </w:r>
    </w:p>
    <w:p w14:paraId="36AE50AC"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TRANSFER_LOCATION</w:t>
      </w:r>
    </w:p>
    <w:p w14:paraId="5859A4A2"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Registered transfer location.</w:t>
      </w:r>
    </w:p>
    <w:p w14:paraId="020DC601"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TRADING_DAY</w:t>
      </w:r>
    </w:p>
    <w:p w14:paraId="6571BE19"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Bids can be submitted in SIBR up to 7 days in advance of a Trading Day.</w:t>
      </w:r>
    </w:p>
    <w:p w14:paraId="5796A597"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TRADING_HOUR</w:t>
      </w:r>
    </w:p>
    <w:p w14:paraId="495B80E6"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The list of TCSCs and associated transmission rights may vary by hour.</w:t>
      </w:r>
    </w:p>
    <w:p w14:paraId="566CD8BC"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CRN_ID</w:t>
      </w:r>
    </w:p>
    <w:p w14:paraId="28C394B1"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Registered CRN.</w:t>
      </w:r>
    </w:p>
    <w:p w14:paraId="722C0F75"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CRN_CAPACITY</w:t>
      </w:r>
    </w:p>
    <w:p w14:paraId="1F59EE72" w14:textId="46F5F0F6"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The total transmission right for the specified CRN that the specified TCSC may exercise as a Type 1 transfer or released as a Type 2 transfer.</w:t>
      </w:r>
    </w:p>
    <w:p w14:paraId="581D5777" w14:textId="77777777" w:rsidR="000B47C0" w:rsidRPr="00746F54" w:rsidRDefault="000B47C0" w:rsidP="000B47C0">
      <w:pPr>
        <w:pStyle w:val="Paragraph"/>
        <w:rPr>
          <w:rFonts w:ascii="Arial" w:hAnsi="Arial" w:cs="Arial"/>
          <w:sz w:val="22"/>
        </w:rPr>
      </w:pPr>
      <w:r w:rsidRPr="00746F54">
        <w:rPr>
          <w:rFonts w:ascii="Arial" w:hAnsi="Arial" w:cs="Arial"/>
          <w:sz w:val="22"/>
        </w:rPr>
        <w:t>This information is also registered in the Master File for each CRN, but the submission in SIBR can provide updates.</w:t>
      </w:r>
    </w:p>
    <w:p w14:paraId="78B15814" w14:textId="77777777" w:rsidR="000B47C0" w:rsidRPr="00746F54" w:rsidRDefault="000B47C0" w:rsidP="000B47C0">
      <w:pPr>
        <w:pStyle w:val="Paragraph"/>
        <w:rPr>
          <w:rFonts w:ascii="Arial" w:hAnsi="Arial" w:cs="Arial"/>
          <w:sz w:val="22"/>
        </w:rPr>
      </w:pPr>
    </w:p>
    <w:p w14:paraId="468CEE07" w14:textId="77777777" w:rsidR="000B47C0" w:rsidRPr="00746F54" w:rsidRDefault="000B47C0" w:rsidP="00636D40">
      <w:pPr>
        <w:pStyle w:val="Heading4"/>
        <w:rPr>
          <w:rFonts w:ascii="Arial" w:hAnsi="Arial" w:cs="Arial"/>
        </w:rPr>
      </w:pPr>
      <w:bookmarkStart w:id="61" w:name="_Ref191633128"/>
      <w:bookmarkStart w:id="62" w:name="_Toc191646288"/>
      <w:r w:rsidRPr="00746F54">
        <w:rPr>
          <w:rFonts w:ascii="Arial" w:hAnsi="Arial" w:cs="Arial"/>
        </w:rPr>
        <w:t>Transfer Type 1 Definition in SIBR</w:t>
      </w:r>
      <w:bookmarkEnd w:id="61"/>
      <w:bookmarkEnd w:id="62"/>
    </w:p>
    <w:p w14:paraId="279458A3" w14:textId="578623A6" w:rsidR="000B47C0" w:rsidRPr="00746F54" w:rsidRDefault="000B47C0" w:rsidP="000B47C0">
      <w:pPr>
        <w:pStyle w:val="Paragraph"/>
        <w:rPr>
          <w:rFonts w:ascii="Arial" w:hAnsi="Arial" w:cs="Arial"/>
          <w:sz w:val="22"/>
        </w:rPr>
      </w:pPr>
      <w:r w:rsidRPr="00746F54">
        <w:rPr>
          <w:rFonts w:ascii="Arial" w:hAnsi="Arial" w:cs="Arial"/>
          <w:sz w:val="22"/>
        </w:rPr>
        <w:t>After an EESC has submitted a list of TCSCs and associated transmission right capacity by CRN at a transfer location, as described in 17.5.1, these TCSCs may define Type 1 TSRs at that transfer location for the Trading Day, subject to the definition and validation requirements described in Section 17.4. When the matching TSR is submitted by the matching TCSC, SIBR will cross-validate the TSR pair and finalize the TSR definition.</w:t>
      </w:r>
    </w:p>
    <w:p w14:paraId="011933BE" w14:textId="77777777" w:rsidR="000B47C0" w:rsidRPr="00746F54" w:rsidRDefault="000B47C0" w:rsidP="000B47C0">
      <w:pPr>
        <w:pStyle w:val="Paragraph"/>
        <w:rPr>
          <w:rFonts w:ascii="Arial" w:hAnsi="Arial" w:cs="Arial"/>
          <w:sz w:val="22"/>
        </w:rPr>
      </w:pPr>
    </w:p>
    <w:p w14:paraId="3EE2C149" w14:textId="77777777" w:rsidR="000B47C0" w:rsidRPr="00746F54" w:rsidRDefault="000B47C0" w:rsidP="00636D40">
      <w:pPr>
        <w:pStyle w:val="Heading4"/>
        <w:rPr>
          <w:rFonts w:ascii="Arial" w:hAnsi="Arial" w:cs="Arial"/>
        </w:rPr>
      </w:pPr>
      <w:bookmarkStart w:id="63" w:name="_Toc191646289"/>
      <w:r w:rsidRPr="00746F54">
        <w:rPr>
          <w:rFonts w:ascii="Arial" w:hAnsi="Arial" w:cs="Arial"/>
        </w:rPr>
        <w:t>Capacity Release at Transfer Locations</w:t>
      </w:r>
      <w:bookmarkEnd w:id="63"/>
    </w:p>
    <w:p w14:paraId="1C1DEF61" w14:textId="6EBC47EA" w:rsidR="000B47C0" w:rsidRPr="00746F54" w:rsidRDefault="000B47C0" w:rsidP="000B47C0">
      <w:pPr>
        <w:pStyle w:val="Paragraph"/>
        <w:rPr>
          <w:rFonts w:ascii="Arial" w:hAnsi="Arial" w:cs="Arial"/>
          <w:sz w:val="22"/>
        </w:rPr>
      </w:pPr>
      <w:r w:rsidRPr="00746F54">
        <w:rPr>
          <w:rFonts w:ascii="Arial" w:hAnsi="Arial" w:cs="Arial"/>
          <w:sz w:val="22"/>
        </w:rPr>
        <w:t>After an EESC has submitted a list of TCSCs and associated transmission right capacity by CRN at a transfer location, as described in Section 17.5.1, these TCSCs may release capacity out of these rights in SIBR before 9:00am:</w:t>
      </w:r>
    </w:p>
    <w:p w14:paraId="437523B8"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lastRenderedPageBreak/>
        <w:t>SC_ID</w:t>
      </w:r>
    </w:p>
    <w:p w14:paraId="7FE82E9E" w14:textId="047EACEC"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Registered TCSC; it must match a TCSC in the list of TCSCs submitted by the EESC for that transfer location.</w:t>
      </w:r>
    </w:p>
    <w:p w14:paraId="09516F5E"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TRANSFER_LOCATION</w:t>
      </w:r>
    </w:p>
    <w:p w14:paraId="142A2851"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Registered transfer location.</w:t>
      </w:r>
    </w:p>
    <w:p w14:paraId="305963A0"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TRADING_DAY</w:t>
      </w:r>
    </w:p>
    <w:p w14:paraId="704FAD71"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Bids can be submitted in SIBR up to 7 days in advance of a Trading Day.</w:t>
      </w:r>
    </w:p>
    <w:p w14:paraId="3BBDAA5B"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TRADING_HOUR</w:t>
      </w:r>
    </w:p>
    <w:p w14:paraId="763D4AE2" w14:textId="77777777"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The list of TCSCs and associated transmission rights and released capacity may vary by hour.</w:t>
      </w:r>
    </w:p>
    <w:p w14:paraId="286EBA89"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CRN_ID</w:t>
      </w:r>
    </w:p>
    <w:p w14:paraId="3AF6EC1E" w14:textId="12E89FAD"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 xml:space="preserve">Registered </w:t>
      </w:r>
      <w:r w:rsidR="00C95132" w:rsidRPr="00746F54">
        <w:rPr>
          <w:rFonts w:ascii="Arial" w:hAnsi="Arial" w:cs="Arial"/>
          <w:sz w:val="22"/>
        </w:rPr>
        <w:t>CRN:</w:t>
      </w:r>
      <w:r w:rsidRPr="00746F54">
        <w:rPr>
          <w:rFonts w:ascii="Arial" w:hAnsi="Arial" w:cs="Arial"/>
          <w:sz w:val="22"/>
        </w:rPr>
        <w:t xml:space="preserve"> it must match a CRN in the list of CRNs for that TCSC submitted by the EESC for that transfer location.</w:t>
      </w:r>
    </w:p>
    <w:p w14:paraId="2DCD0647" w14:textId="77777777" w:rsidR="000B47C0" w:rsidRPr="00746F54" w:rsidRDefault="000B47C0" w:rsidP="000B47C0">
      <w:pPr>
        <w:pStyle w:val="Paragraph"/>
        <w:numPr>
          <w:ilvl w:val="0"/>
          <w:numId w:val="57"/>
        </w:numPr>
        <w:spacing w:line="240" w:lineRule="auto"/>
        <w:jc w:val="both"/>
        <w:rPr>
          <w:rFonts w:ascii="Arial" w:hAnsi="Arial" w:cs="Arial"/>
          <w:sz w:val="22"/>
        </w:rPr>
      </w:pPr>
      <w:r w:rsidRPr="00746F54">
        <w:rPr>
          <w:rFonts w:ascii="Arial" w:hAnsi="Arial" w:cs="Arial"/>
          <w:sz w:val="22"/>
        </w:rPr>
        <w:t>RELEASED_CAPACITY</w:t>
      </w:r>
    </w:p>
    <w:p w14:paraId="2D76A14B" w14:textId="788AFE5A" w:rsidR="000B47C0" w:rsidRPr="00746F54" w:rsidRDefault="000B47C0" w:rsidP="000B47C0">
      <w:pPr>
        <w:pStyle w:val="Paragraph"/>
        <w:numPr>
          <w:ilvl w:val="1"/>
          <w:numId w:val="57"/>
        </w:numPr>
        <w:spacing w:line="240" w:lineRule="auto"/>
        <w:jc w:val="both"/>
        <w:rPr>
          <w:rFonts w:ascii="Arial" w:hAnsi="Arial" w:cs="Arial"/>
          <w:sz w:val="22"/>
        </w:rPr>
      </w:pPr>
      <w:r w:rsidRPr="00746F54">
        <w:rPr>
          <w:rFonts w:ascii="Arial" w:hAnsi="Arial" w:cs="Arial"/>
          <w:sz w:val="22"/>
        </w:rPr>
        <w:t>The total released transmission right for the specified CRN; it is inclusive of capacity released via any registered Type 2 TSR bids. The released capacity and the sum of all Type 1 TSR self-schedules by that TCSC at that transfer location for the specified CRN must not exceed the total right for that CRN submitted by the EESC.</w:t>
      </w:r>
    </w:p>
    <w:p w14:paraId="792FF5BE" w14:textId="77777777" w:rsidR="009C2B4B" w:rsidRPr="00746F54" w:rsidRDefault="009C2B4B" w:rsidP="009C2B4B">
      <w:pPr>
        <w:pStyle w:val="Paragraph"/>
        <w:spacing w:line="240" w:lineRule="auto"/>
        <w:ind w:left="1440"/>
        <w:jc w:val="both"/>
        <w:rPr>
          <w:rFonts w:ascii="Arial" w:hAnsi="Arial" w:cs="Arial"/>
          <w:sz w:val="22"/>
        </w:rPr>
      </w:pPr>
    </w:p>
    <w:p w14:paraId="3B16895F" w14:textId="04897C5F" w:rsidR="000B47C0" w:rsidRPr="00746F54" w:rsidRDefault="000B47C0" w:rsidP="00636D40">
      <w:pPr>
        <w:pStyle w:val="Heading4"/>
        <w:rPr>
          <w:rFonts w:ascii="Arial" w:hAnsi="Arial" w:cs="Arial"/>
        </w:rPr>
      </w:pPr>
      <w:bookmarkStart w:id="64" w:name="_Ref191632298"/>
      <w:bookmarkStart w:id="65" w:name="_Toc191646290"/>
      <w:r w:rsidRPr="00746F54">
        <w:rPr>
          <w:rFonts w:ascii="Arial" w:hAnsi="Arial" w:cs="Arial"/>
        </w:rPr>
        <w:t>Transfer Type 2 Matching and Definition in SIBR</w:t>
      </w:r>
      <w:bookmarkEnd w:id="64"/>
      <w:bookmarkEnd w:id="65"/>
    </w:p>
    <w:p w14:paraId="6AA0D428" w14:textId="5CB010FE" w:rsidR="000B47C0" w:rsidRPr="00746F54" w:rsidRDefault="000B47C0" w:rsidP="000B47C0">
      <w:pPr>
        <w:pStyle w:val="Paragraph"/>
        <w:rPr>
          <w:rFonts w:ascii="Arial" w:hAnsi="Arial" w:cs="Arial"/>
          <w:sz w:val="22"/>
        </w:rPr>
      </w:pPr>
      <w:r w:rsidRPr="00746F54">
        <w:rPr>
          <w:rFonts w:ascii="Arial" w:hAnsi="Arial" w:cs="Arial"/>
          <w:sz w:val="22"/>
        </w:rPr>
        <w:t xml:space="preserve">At 9:00 am, SIBR will match released capacity by a TCSC from a CRN at a transfer location with released capacity by TCSCs at the corresponding matching transfer location. Any released capacity specified in registered Type 2 TSR bids will be excluded since it is already matched. As a result of this released capacity matching, SIBR will define Type 2 TSR pairs for the relevant TCSCs and Trading Hour. </w:t>
      </w:r>
      <w:r w:rsidR="00ED70B2" w:rsidRPr="00ED70B2">
        <w:t xml:space="preserve"> </w:t>
      </w:r>
      <w:r w:rsidR="00ED70B2">
        <w:rPr>
          <w:rFonts w:ascii="Arial" w:hAnsi="Arial" w:cs="Arial"/>
          <w:sz w:val="22"/>
        </w:rPr>
        <w:t xml:space="preserve">SIBR will also confirm </w:t>
      </w:r>
      <w:r w:rsidR="00ED70B2" w:rsidRPr="00ED70B2">
        <w:rPr>
          <w:rFonts w:ascii="Arial" w:hAnsi="Arial" w:cs="Arial"/>
          <w:sz w:val="22"/>
        </w:rPr>
        <w:t xml:space="preserve">if there were any Registered Type 2 from </w:t>
      </w:r>
      <w:r w:rsidR="00ED70B2">
        <w:rPr>
          <w:rFonts w:ascii="Arial" w:hAnsi="Arial" w:cs="Arial"/>
          <w:sz w:val="22"/>
        </w:rPr>
        <w:t>an</w:t>
      </w:r>
      <w:r w:rsidR="00ED70B2" w:rsidRPr="00ED70B2">
        <w:rPr>
          <w:rFonts w:ascii="Arial" w:hAnsi="Arial" w:cs="Arial"/>
          <w:sz w:val="22"/>
        </w:rPr>
        <w:t xml:space="preserve"> SC at that Transfer Location for the CRN and it will exclude that Registered Type 2 MW from the Released Capacity generated Transient Type 2 at that Transfer Location and SC.</w:t>
      </w:r>
      <w:r w:rsidR="00ED70B2">
        <w:rPr>
          <w:rFonts w:ascii="Arial" w:hAnsi="Arial" w:cs="Arial"/>
          <w:sz w:val="22"/>
        </w:rPr>
        <w:t xml:space="preserve">  </w:t>
      </w:r>
      <w:r w:rsidRPr="00746F54">
        <w:rPr>
          <w:rFonts w:ascii="Arial" w:hAnsi="Arial" w:cs="Arial"/>
          <w:sz w:val="22"/>
        </w:rPr>
        <w:t>The TSR matching and definition methodology at a transfer location and its matching transfer location is as follows:</w:t>
      </w:r>
    </w:p>
    <w:p w14:paraId="36F7E9C9" w14:textId="77777777" w:rsidR="000B47C0" w:rsidRPr="00746F54" w:rsidRDefault="000B47C0" w:rsidP="000B47C0">
      <w:pPr>
        <w:pStyle w:val="Paragraph"/>
        <w:numPr>
          <w:ilvl w:val="0"/>
          <w:numId w:val="58"/>
        </w:numPr>
        <w:spacing w:line="240" w:lineRule="auto"/>
        <w:jc w:val="both"/>
        <w:rPr>
          <w:rFonts w:ascii="Arial" w:hAnsi="Arial" w:cs="Arial"/>
          <w:sz w:val="22"/>
        </w:rPr>
      </w:pPr>
      <w:r w:rsidRPr="00746F54">
        <w:rPr>
          <w:rFonts w:ascii="Arial" w:hAnsi="Arial" w:cs="Arial"/>
          <w:sz w:val="22"/>
        </w:rPr>
        <w:t>The released capacity offers will be aggregated by TCSC over all relevant CRNs and any released capacity under registered Type 2 TSR bids will be subtracted.</w:t>
      </w:r>
    </w:p>
    <w:p w14:paraId="5FD08308" w14:textId="77777777" w:rsidR="000B47C0" w:rsidRPr="00746F54" w:rsidRDefault="000B47C0" w:rsidP="000B47C0">
      <w:pPr>
        <w:pStyle w:val="Paragraph"/>
        <w:numPr>
          <w:ilvl w:val="0"/>
          <w:numId w:val="58"/>
        </w:numPr>
        <w:spacing w:line="240" w:lineRule="auto"/>
        <w:jc w:val="both"/>
        <w:rPr>
          <w:rFonts w:ascii="Arial" w:hAnsi="Arial" w:cs="Arial"/>
          <w:sz w:val="22"/>
        </w:rPr>
      </w:pPr>
      <w:r w:rsidRPr="00746F54">
        <w:rPr>
          <w:rFonts w:ascii="Arial" w:hAnsi="Arial" w:cs="Arial"/>
          <w:sz w:val="22"/>
        </w:rPr>
        <w:t>The aggregate released capacity offers will be ordered in ascending order top to bottom.</w:t>
      </w:r>
    </w:p>
    <w:p w14:paraId="5D3FC0E4" w14:textId="77777777" w:rsidR="000B47C0" w:rsidRPr="00746F54" w:rsidRDefault="000B47C0" w:rsidP="000B47C0">
      <w:pPr>
        <w:pStyle w:val="Paragraph"/>
        <w:numPr>
          <w:ilvl w:val="0"/>
          <w:numId w:val="58"/>
        </w:numPr>
        <w:spacing w:line="240" w:lineRule="auto"/>
        <w:jc w:val="both"/>
        <w:rPr>
          <w:rFonts w:ascii="Arial" w:hAnsi="Arial" w:cs="Arial"/>
          <w:sz w:val="22"/>
        </w:rPr>
      </w:pPr>
      <w:r w:rsidRPr="00746F54">
        <w:rPr>
          <w:rFonts w:ascii="Arial" w:hAnsi="Arial" w:cs="Arial"/>
          <w:sz w:val="22"/>
        </w:rPr>
        <w:t>The aggregate released capacity offers on the long side of the transfer where the total capacity exceeds the total on the short side, will be reduced pro rata to match the total capacity on the short side.</w:t>
      </w:r>
    </w:p>
    <w:p w14:paraId="71D7D5C0" w14:textId="0DD79E1F" w:rsidR="000B47C0" w:rsidRPr="00746F54" w:rsidRDefault="000B47C0" w:rsidP="000B47C0">
      <w:pPr>
        <w:pStyle w:val="Paragraph"/>
        <w:numPr>
          <w:ilvl w:val="0"/>
          <w:numId w:val="58"/>
        </w:numPr>
        <w:spacing w:line="240" w:lineRule="auto"/>
        <w:jc w:val="both"/>
        <w:rPr>
          <w:rFonts w:ascii="Arial" w:hAnsi="Arial" w:cs="Arial"/>
          <w:sz w:val="22"/>
        </w:rPr>
      </w:pPr>
      <w:r w:rsidRPr="00746F54">
        <w:rPr>
          <w:rFonts w:ascii="Arial" w:hAnsi="Arial" w:cs="Arial"/>
          <w:sz w:val="22"/>
        </w:rPr>
        <w:t xml:space="preserve">The aggregate released capacity offers on both sides of the transfer will be sliced horizontally at all TCSC boundaries to yield matching capacity offers; these matching capacity offers then become the Maximum Capacity of Type 2 TSR pairs that are defined </w:t>
      </w:r>
      <w:r w:rsidRPr="00746F54">
        <w:rPr>
          <w:rFonts w:ascii="Arial" w:hAnsi="Arial" w:cs="Arial"/>
          <w:sz w:val="22"/>
        </w:rPr>
        <w:lastRenderedPageBreak/>
        <w:t>by SIBR using the naming convention: SC_ID_FROM_BAA-TO_BAA-INTERTIE-DIRECTION-TSR_TYPE-MATCHING_SC_ID-nn, where the numeric identifier ‘</w:t>
      </w:r>
      <w:proofErr w:type="spellStart"/>
      <w:r w:rsidRPr="00746F54">
        <w:rPr>
          <w:rFonts w:ascii="Arial" w:hAnsi="Arial" w:cs="Arial"/>
          <w:sz w:val="22"/>
        </w:rPr>
        <w:t>nn</w:t>
      </w:r>
      <w:proofErr w:type="spellEnd"/>
      <w:r w:rsidRPr="00746F54">
        <w:rPr>
          <w:rFonts w:ascii="Arial" w:hAnsi="Arial" w:cs="Arial"/>
          <w:sz w:val="22"/>
        </w:rPr>
        <w:t>’ is the Hour Ending (1-25) for the relevant Trading Hour, since the capacity offer matching may yield different results for each hour. SIBR will set the Capacity Limit in these TSRs equal to the Maximum Capacity, and the RSE Eligibility to “N”. There will not be a CRN specified in these Type 2 TSRs since the released capacity will be aggregated at step (1) above across potentially multiple CRNs. The transfer capacity under the Capacity Limit will be released to EDAM for optimal scheduling in the IFM and RUC.</w:t>
      </w:r>
    </w:p>
    <w:p w14:paraId="00300850" w14:textId="77777777" w:rsidR="000B47C0" w:rsidRPr="00746F54" w:rsidRDefault="000B47C0" w:rsidP="000B47C0">
      <w:pPr>
        <w:pStyle w:val="Paragraph"/>
        <w:numPr>
          <w:ilvl w:val="0"/>
          <w:numId w:val="58"/>
        </w:numPr>
        <w:spacing w:line="240" w:lineRule="auto"/>
        <w:jc w:val="both"/>
        <w:rPr>
          <w:rFonts w:ascii="Arial" w:hAnsi="Arial" w:cs="Arial"/>
          <w:sz w:val="22"/>
        </w:rPr>
      </w:pPr>
      <w:r w:rsidRPr="00746F54">
        <w:rPr>
          <w:rFonts w:ascii="Arial" w:hAnsi="Arial" w:cs="Arial"/>
          <w:sz w:val="22"/>
        </w:rPr>
        <w:t>SIBR will notify the corresponding TCSCs and their EESCs about their defined Type 2 TSRs; no TSR bid is required, and none will be accepted for these TSRs.</w:t>
      </w:r>
    </w:p>
    <w:p w14:paraId="4DBB855B" w14:textId="77777777" w:rsidR="000B47C0" w:rsidRPr="00746F54" w:rsidRDefault="000B47C0" w:rsidP="000B47C0">
      <w:pPr>
        <w:pStyle w:val="Paragraph"/>
        <w:rPr>
          <w:rFonts w:ascii="Arial" w:hAnsi="Arial" w:cs="Arial"/>
          <w:sz w:val="22"/>
        </w:rPr>
      </w:pPr>
      <w:r w:rsidRPr="00746F54">
        <w:rPr>
          <w:rFonts w:ascii="Arial" w:hAnsi="Arial" w:cs="Arial"/>
          <w:sz w:val="22"/>
        </w:rPr>
        <w:t xml:space="preserve">The methodology is illustrated with an example in </w:t>
      </w:r>
      <w:r w:rsidRPr="00746F54">
        <w:rPr>
          <w:rFonts w:ascii="Arial" w:hAnsi="Arial" w:cs="Arial"/>
          <w:sz w:val="22"/>
        </w:rPr>
        <w:fldChar w:fldCharType="begin"/>
      </w:r>
      <w:r w:rsidRPr="00746F54">
        <w:rPr>
          <w:rFonts w:ascii="Arial" w:hAnsi="Arial" w:cs="Arial"/>
          <w:sz w:val="22"/>
        </w:rPr>
        <w:instrText xml:space="preserve"> REF _Ref179360370 \h  \* MERGEFORMAT </w:instrText>
      </w:r>
      <w:r w:rsidRPr="00746F54">
        <w:rPr>
          <w:rFonts w:ascii="Arial" w:hAnsi="Arial" w:cs="Arial"/>
          <w:sz w:val="22"/>
        </w:rPr>
      </w:r>
      <w:r w:rsidRPr="00746F54">
        <w:rPr>
          <w:rFonts w:ascii="Arial" w:hAnsi="Arial" w:cs="Arial"/>
          <w:sz w:val="22"/>
        </w:rPr>
        <w:fldChar w:fldCharType="separate"/>
      </w:r>
      <w:r w:rsidRPr="00746F54">
        <w:rPr>
          <w:rFonts w:ascii="Arial" w:hAnsi="Arial" w:cs="Arial"/>
          <w:sz w:val="22"/>
        </w:rPr>
        <w:t>Figure 17.</w:t>
      </w:r>
      <w:r w:rsidRPr="00746F54">
        <w:rPr>
          <w:rFonts w:ascii="Arial" w:hAnsi="Arial" w:cs="Arial"/>
          <w:noProof/>
          <w:sz w:val="22"/>
        </w:rPr>
        <w:t>2</w:t>
      </w:r>
      <w:r w:rsidRPr="00746F54">
        <w:rPr>
          <w:rFonts w:ascii="Arial" w:hAnsi="Arial" w:cs="Arial"/>
          <w:sz w:val="22"/>
        </w:rPr>
        <w:fldChar w:fldCharType="end"/>
      </w:r>
      <w:r w:rsidRPr="00746F54">
        <w:rPr>
          <w:rFonts w:ascii="Arial" w:hAnsi="Arial" w:cs="Arial"/>
          <w:sz w:val="22"/>
        </w:rPr>
        <w:t>.</w:t>
      </w:r>
    </w:p>
    <w:p w14:paraId="2DF7D8EA" w14:textId="77777777" w:rsidR="000B47C0" w:rsidRPr="00746F54" w:rsidRDefault="000B47C0" w:rsidP="000B47C0">
      <w:pPr>
        <w:pStyle w:val="Figure"/>
        <w:rPr>
          <w:rFonts w:ascii="Arial" w:hAnsi="Arial" w:cs="Arial"/>
          <w:sz w:val="22"/>
          <w:szCs w:val="22"/>
        </w:rPr>
      </w:pPr>
      <w:r w:rsidRPr="00746F54">
        <w:rPr>
          <w:rFonts w:ascii="Arial" w:hAnsi="Arial" w:cs="Arial"/>
          <w:noProof/>
          <w:sz w:val="22"/>
          <w:szCs w:val="22"/>
        </w:rPr>
        <mc:AlternateContent>
          <mc:Choice Requires="wpc">
            <w:drawing>
              <wp:inline distT="0" distB="0" distL="0" distR="0" wp14:anchorId="6897F5B3" wp14:editId="28B9BFED">
                <wp:extent cx="5943600" cy="3467100"/>
                <wp:effectExtent l="0" t="0" r="0" b="19050"/>
                <wp:docPr id="207185633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10180868" name="Group 110180868"/>
                        <wpg:cNvGrpSpPr/>
                        <wpg:grpSpPr>
                          <a:xfrm>
                            <a:off x="961970" y="0"/>
                            <a:ext cx="4035627" cy="3467100"/>
                            <a:chOff x="0" y="0"/>
                            <a:chExt cx="4035627" cy="3467100"/>
                          </a:xfrm>
                        </wpg:grpSpPr>
                        <wpg:grpSp>
                          <wpg:cNvPr id="2050658859" name="Group 2050658859">
                            <a:extLst>
                              <a:ext uri="{FF2B5EF4-FFF2-40B4-BE49-F238E27FC236}">
                                <a16:creationId xmlns:a16="http://schemas.microsoft.com/office/drawing/2014/main" id="{DBB01A93-E1D6-873D-1E6C-1DF6C1C94CFA}"/>
                              </a:ext>
                            </a:extLst>
                          </wpg:cNvPr>
                          <wpg:cNvGrpSpPr/>
                          <wpg:grpSpPr>
                            <a:xfrm>
                              <a:off x="547437" y="52619"/>
                              <a:ext cx="2933326" cy="3414481"/>
                              <a:chOff x="685800" y="65918"/>
                              <a:chExt cx="3674716" cy="4277482"/>
                            </a:xfrm>
                          </wpg:grpSpPr>
                          <wps:wsp>
                            <wps:cNvPr id="1139321405" name="Rectangle 1139321405">
                              <a:extLst>
                                <a:ext uri="{FF2B5EF4-FFF2-40B4-BE49-F238E27FC236}">
                                  <a16:creationId xmlns:a16="http://schemas.microsoft.com/office/drawing/2014/main" id="{DD8DDBED-0D2A-C629-2165-857FFA3CCC6A}"/>
                                </a:ext>
                              </a:extLst>
                            </wps:cNvPr>
                            <wps:cNvSpPr/>
                            <wps:spPr>
                              <a:xfrm>
                                <a:off x="685800" y="685800"/>
                                <a:ext cx="914400" cy="3657600"/>
                              </a:xfrm>
                              <a:prstGeom prst="rect">
                                <a:avLst/>
                              </a:prstGeom>
                              <a:solidFill>
                                <a:srgbClr val="A5A5A5">
                                  <a:lumMod val="40000"/>
                                  <a:lumOff val="60000"/>
                                </a:srgbClr>
                              </a:solidFill>
                              <a:ln w="12700" cap="flat" cmpd="sng" algn="ctr">
                                <a:solidFill>
                                  <a:sysClr val="windowText" lastClr="000000"/>
                                </a:solidFill>
                                <a:prstDash val="solid"/>
                                <a:miter lim="800000"/>
                              </a:ln>
                              <a:effectLst/>
                            </wps:spPr>
                            <wps:bodyPr rtlCol="0" anchor="ctr"/>
                          </wps:wsp>
                          <wps:wsp>
                            <wps:cNvPr id="1784269896" name="Rectangle 1784269896">
                              <a:extLst>
                                <a:ext uri="{FF2B5EF4-FFF2-40B4-BE49-F238E27FC236}">
                                  <a16:creationId xmlns:a16="http://schemas.microsoft.com/office/drawing/2014/main" id="{7EA6691A-E9BC-1E05-E2B7-6102895E67B4}"/>
                                </a:ext>
                              </a:extLst>
                            </wps:cNvPr>
                            <wps:cNvSpPr/>
                            <wps:spPr>
                              <a:xfrm>
                                <a:off x="3446116" y="65918"/>
                                <a:ext cx="914400" cy="4277482"/>
                              </a:xfrm>
                              <a:prstGeom prst="rect">
                                <a:avLst/>
                              </a:prstGeom>
                              <a:solidFill>
                                <a:srgbClr val="4472C4">
                                  <a:lumMod val="40000"/>
                                  <a:lumOff val="60000"/>
                                </a:srgbClr>
                              </a:solidFill>
                              <a:ln w="12700" cap="flat" cmpd="sng" algn="ctr">
                                <a:solidFill>
                                  <a:sysClr val="windowText" lastClr="000000"/>
                                </a:solidFill>
                                <a:prstDash val="solid"/>
                                <a:miter lim="800000"/>
                              </a:ln>
                              <a:effectLst/>
                            </wps:spPr>
                            <wps:bodyPr rtlCol="0" anchor="ctr"/>
                          </wps:wsp>
                        </wpg:grpSp>
                        <wpg:grpSp>
                          <wpg:cNvPr id="964961326" name="Group 964961326">
                            <a:extLst>
                              <a:ext uri="{FF2B5EF4-FFF2-40B4-BE49-F238E27FC236}">
                                <a16:creationId xmlns:a16="http://schemas.microsoft.com/office/drawing/2014/main" id="{982A2898-DB34-9AB5-333F-4E40F9AF6E96}"/>
                              </a:ext>
                            </a:extLst>
                          </wpg:cNvPr>
                          <wpg:cNvGrpSpPr/>
                          <wpg:grpSpPr>
                            <a:xfrm>
                              <a:off x="561987" y="0"/>
                              <a:ext cx="1702834" cy="3467100"/>
                              <a:chOff x="704028" y="0"/>
                              <a:chExt cx="2133220" cy="4343400"/>
                            </a:xfrm>
                          </wpg:grpSpPr>
                          <wps:wsp>
                            <wps:cNvPr id="904870615" name="TextBox 28">
                              <a:extLst>
                                <a:ext uri="{FF2B5EF4-FFF2-40B4-BE49-F238E27FC236}">
                                  <a16:creationId xmlns:a16="http://schemas.microsoft.com/office/drawing/2014/main" id="{ABDF9760-DA47-89B8-1BCD-2380ABC2B08D}"/>
                                </a:ext>
                              </a:extLst>
                            </wps:cNvPr>
                            <wps:cNvSpPr txBox="1"/>
                            <wps:spPr>
                              <a:xfrm>
                                <a:off x="704028" y="129612"/>
                                <a:ext cx="914023" cy="472524"/>
                              </a:xfrm>
                              <a:prstGeom prst="rect">
                                <a:avLst/>
                              </a:prstGeom>
                              <a:noFill/>
                            </wps:spPr>
                            <wps:txbx>
                              <w:txbxContent>
                                <w:p w14:paraId="53287FA6" w14:textId="77777777" w:rsidR="000B47C0" w:rsidRPr="007C52F0" w:rsidRDefault="000B47C0" w:rsidP="000B47C0">
                                  <w:pPr>
                                    <w:jc w:val="cente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BAA A</w:t>
                                  </w:r>
                                </w:p>
                              </w:txbxContent>
                            </wps:txbx>
                            <wps:bodyPr wrap="square" rtlCol="0">
                              <a:spAutoFit/>
                            </wps:bodyPr>
                          </wps:wsp>
                          <wps:wsp>
                            <wps:cNvPr id="1398156657" name="TextBox 29">
                              <a:extLst>
                                <a:ext uri="{FF2B5EF4-FFF2-40B4-BE49-F238E27FC236}">
                                  <a16:creationId xmlns:a16="http://schemas.microsoft.com/office/drawing/2014/main" id="{AE054DA0-5E43-B9BC-CCB2-475D3D846325}"/>
                                </a:ext>
                              </a:extLst>
                            </wps:cNvPr>
                            <wps:cNvSpPr txBox="1"/>
                            <wps:spPr>
                              <a:xfrm>
                                <a:off x="1923225" y="129612"/>
                                <a:ext cx="914023" cy="472524"/>
                              </a:xfrm>
                              <a:prstGeom prst="rect">
                                <a:avLst/>
                              </a:prstGeom>
                              <a:noFill/>
                            </wps:spPr>
                            <wps:txbx>
                              <w:txbxContent>
                                <w:p w14:paraId="53B5E4EF" w14:textId="77777777" w:rsidR="000B47C0" w:rsidRPr="007C52F0" w:rsidRDefault="000B47C0" w:rsidP="000B47C0">
                                  <w:pPr>
                                    <w:jc w:val="cente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BAA B</w:t>
                                  </w:r>
                                </w:p>
                              </w:txbxContent>
                            </wps:txbx>
                            <wps:bodyPr wrap="square" rtlCol="0">
                              <a:spAutoFit/>
                            </wps:bodyPr>
                          </wps:wsp>
                          <wps:wsp>
                            <wps:cNvPr id="1669644603" name="Straight Connector 1669644603">
                              <a:extLst>
                                <a:ext uri="{FF2B5EF4-FFF2-40B4-BE49-F238E27FC236}">
                                  <a16:creationId xmlns:a16="http://schemas.microsoft.com/office/drawing/2014/main" id="{DC78F982-6618-E7F6-C05B-34BAAFCCC84B}"/>
                                </a:ext>
                              </a:extLst>
                            </wps:cNvPr>
                            <wps:cNvCnPr>
                              <a:cxnSpLocks/>
                            </wps:cNvCnPr>
                            <wps:spPr>
                              <a:xfrm>
                                <a:off x="1752600" y="0"/>
                                <a:ext cx="0" cy="4343400"/>
                              </a:xfrm>
                              <a:prstGeom prst="line">
                                <a:avLst/>
                              </a:prstGeom>
                              <a:noFill/>
                              <a:ln w="12700" cap="flat" cmpd="sng" algn="ctr">
                                <a:solidFill>
                                  <a:srgbClr val="FF0000"/>
                                </a:solidFill>
                                <a:prstDash val="dashDot"/>
                                <a:miter lim="800000"/>
                              </a:ln>
                              <a:effectLst/>
                            </wps:spPr>
                            <wps:bodyPr/>
                          </wps:wsp>
                        </wpg:grpSp>
                        <wpg:grpSp>
                          <wpg:cNvPr id="1230123315" name="Group 1230123315">
                            <a:extLst>
                              <a:ext uri="{FF2B5EF4-FFF2-40B4-BE49-F238E27FC236}">
                                <a16:creationId xmlns:a16="http://schemas.microsoft.com/office/drawing/2014/main" id="{97336683-DC83-A519-1628-317694595307}"/>
                              </a:ext>
                            </a:extLst>
                          </wpg:cNvPr>
                          <wpg:cNvGrpSpPr/>
                          <wpg:grpSpPr>
                            <a:xfrm>
                              <a:off x="2750847" y="82306"/>
                              <a:ext cx="1284780" cy="2765419"/>
                              <a:chOff x="3446116" y="103108"/>
                              <a:chExt cx="1609504" cy="3464371"/>
                            </a:xfrm>
                          </wpg:grpSpPr>
                          <wps:wsp>
                            <wps:cNvPr id="62312256" name="TextBox 18">
                              <a:extLst>
                                <a:ext uri="{FF2B5EF4-FFF2-40B4-BE49-F238E27FC236}">
                                  <a16:creationId xmlns:a16="http://schemas.microsoft.com/office/drawing/2014/main" id="{19E8BBB2-2474-DF0D-6748-058FBF75B5EF}"/>
                                </a:ext>
                              </a:extLst>
                            </wps:cNvPr>
                            <wps:cNvSpPr txBox="1"/>
                            <wps:spPr>
                              <a:xfrm>
                                <a:off x="4369904" y="103108"/>
                                <a:ext cx="685716" cy="472524"/>
                              </a:xfrm>
                              <a:prstGeom prst="rect">
                                <a:avLst/>
                              </a:prstGeom>
                              <a:noFill/>
                            </wps:spPr>
                            <wps:txbx>
                              <w:txbxContent>
                                <w:p w14:paraId="041C98A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SC4</w:t>
                                  </w:r>
                                </w:p>
                              </w:txbxContent>
                            </wps:txbx>
                            <wps:bodyPr wrap="square" rtlCol="0">
                              <a:spAutoFit/>
                            </wps:bodyPr>
                          </wps:wsp>
                          <wps:wsp>
                            <wps:cNvPr id="1257484953" name="TextBox 19">
                              <a:extLst>
                                <a:ext uri="{FF2B5EF4-FFF2-40B4-BE49-F238E27FC236}">
                                  <a16:creationId xmlns:a16="http://schemas.microsoft.com/office/drawing/2014/main" id="{8BD53C21-D0BA-1D8E-ADAB-4B776875F098}"/>
                                </a:ext>
                              </a:extLst>
                            </wps:cNvPr>
                            <wps:cNvSpPr txBox="1"/>
                            <wps:spPr>
                              <a:xfrm>
                                <a:off x="4369904" y="727947"/>
                                <a:ext cx="685716" cy="472524"/>
                              </a:xfrm>
                              <a:prstGeom prst="rect">
                                <a:avLst/>
                              </a:prstGeom>
                              <a:noFill/>
                            </wps:spPr>
                            <wps:txbx>
                              <w:txbxContent>
                                <w:p w14:paraId="5819848D"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SC5</w:t>
                                  </w:r>
                                </w:p>
                              </w:txbxContent>
                            </wps:txbx>
                            <wps:bodyPr wrap="square" rtlCol="0">
                              <a:spAutoFit/>
                            </wps:bodyPr>
                          </wps:wsp>
                          <wps:wsp>
                            <wps:cNvPr id="1767831388" name="TextBox 20">
                              <a:extLst>
                                <a:ext uri="{FF2B5EF4-FFF2-40B4-BE49-F238E27FC236}">
                                  <a16:creationId xmlns:a16="http://schemas.microsoft.com/office/drawing/2014/main" id="{1861F1AA-7747-239D-3681-6AF53CB2F548}"/>
                                </a:ext>
                              </a:extLst>
                            </wps:cNvPr>
                            <wps:cNvSpPr txBox="1"/>
                            <wps:spPr>
                              <a:xfrm>
                                <a:off x="4369904" y="1854315"/>
                                <a:ext cx="685716" cy="472524"/>
                              </a:xfrm>
                              <a:prstGeom prst="rect">
                                <a:avLst/>
                              </a:prstGeom>
                              <a:noFill/>
                            </wps:spPr>
                            <wps:txbx>
                              <w:txbxContent>
                                <w:p w14:paraId="65FF0A6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SC6</w:t>
                                  </w:r>
                                </w:p>
                              </w:txbxContent>
                            </wps:txbx>
                            <wps:bodyPr wrap="square" rtlCol="0">
                              <a:spAutoFit/>
                            </wps:bodyPr>
                          </wps:wsp>
                          <wps:wsp>
                            <wps:cNvPr id="884776114" name="TextBox 21">
                              <a:extLst>
                                <a:ext uri="{FF2B5EF4-FFF2-40B4-BE49-F238E27FC236}">
                                  <a16:creationId xmlns:a16="http://schemas.microsoft.com/office/drawing/2014/main" id="{A3C74AF4-4790-48B5-537E-E1990F52784D}"/>
                                </a:ext>
                              </a:extLst>
                            </wps:cNvPr>
                            <wps:cNvSpPr txBox="1"/>
                            <wps:spPr>
                              <a:xfrm>
                                <a:off x="4369904" y="3094955"/>
                                <a:ext cx="685716" cy="472524"/>
                              </a:xfrm>
                              <a:prstGeom prst="rect">
                                <a:avLst/>
                              </a:prstGeom>
                              <a:noFill/>
                            </wps:spPr>
                            <wps:txbx>
                              <w:txbxContent>
                                <w:p w14:paraId="043F3B4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SC7</w:t>
                                  </w:r>
                                </w:p>
                              </w:txbxContent>
                            </wps:txbx>
                            <wps:bodyPr wrap="square" rtlCol="0">
                              <a:spAutoFit/>
                            </wps:bodyPr>
                          </wps:wsp>
                          <wps:wsp>
                            <wps:cNvPr id="76132010" name="Straight Connector 76132010">
                              <a:extLst>
                                <a:ext uri="{FF2B5EF4-FFF2-40B4-BE49-F238E27FC236}">
                                  <a16:creationId xmlns:a16="http://schemas.microsoft.com/office/drawing/2014/main" id="{2F23A3C3-00C0-2F17-DBA0-DD486B055A04}"/>
                                </a:ext>
                              </a:extLst>
                            </wps:cNvPr>
                            <wps:cNvCnPr>
                              <a:cxnSpLocks/>
                            </wps:cNvCnPr>
                            <wps:spPr>
                              <a:xfrm>
                                <a:off x="3446116" y="2514599"/>
                                <a:ext cx="1583084" cy="0"/>
                              </a:xfrm>
                              <a:prstGeom prst="line">
                                <a:avLst/>
                              </a:prstGeom>
                              <a:noFill/>
                              <a:ln w="12700" cap="flat" cmpd="sng" algn="ctr">
                                <a:solidFill>
                                  <a:sysClr val="windowText" lastClr="000000"/>
                                </a:solidFill>
                                <a:prstDash val="solid"/>
                                <a:miter lim="800000"/>
                              </a:ln>
                              <a:effectLst/>
                            </wps:spPr>
                            <wps:bodyPr/>
                          </wps:wsp>
                          <wps:wsp>
                            <wps:cNvPr id="220650849" name="Straight Connector 220650849">
                              <a:extLst>
                                <a:ext uri="{FF2B5EF4-FFF2-40B4-BE49-F238E27FC236}">
                                  <a16:creationId xmlns:a16="http://schemas.microsoft.com/office/drawing/2014/main" id="{16DA45F1-B4D1-3EF1-CC66-E22CD46C4C3E}"/>
                                </a:ext>
                              </a:extLst>
                            </wps:cNvPr>
                            <wps:cNvCnPr>
                              <a:cxnSpLocks/>
                            </wps:cNvCnPr>
                            <wps:spPr>
                              <a:xfrm>
                                <a:off x="3446116" y="1443585"/>
                                <a:ext cx="1583084" cy="0"/>
                              </a:xfrm>
                              <a:prstGeom prst="line">
                                <a:avLst/>
                              </a:prstGeom>
                              <a:noFill/>
                              <a:ln w="12700" cap="flat" cmpd="sng" algn="ctr">
                                <a:solidFill>
                                  <a:sysClr val="windowText" lastClr="000000"/>
                                </a:solidFill>
                                <a:prstDash val="solid"/>
                                <a:miter lim="800000"/>
                              </a:ln>
                              <a:effectLst/>
                            </wps:spPr>
                            <wps:bodyPr/>
                          </wps:wsp>
                          <wps:wsp>
                            <wps:cNvPr id="260424320" name="Straight Connector 260424320">
                              <a:extLst>
                                <a:ext uri="{FF2B5EF4-FFF2-40B4-BE49-F238E27FC236}">
                                  <a16:creationId xmlns:a16="http://schemas.microsoft.com/office/drawing/2014/main" id="{90C38AE3-4001-E3DE-8B6D-C8169896B339}"/>
                                </a:ext>
                              </a:extLst>
                            </wps:cNvPr>
                            <wps:cNvCnPr>
                              <a:cxnSpLocks/>
                            </wps:cNvCnPr>
                            <wps:spPr>
                              <a:xfrm>
                                <a:off x="3446116" y="523118"/>
                                <a:ext cx="1583084" cy="0"/>
                              </a:xfrm>
                              <a:prstGeom prst="line">
                                <a:avLst/>
                              </a:prstGeom>
                              <a:noFill/>
                              <a:ln w="12700" cap="flat" cmpd="sng" algn="ctr">
                                <a:solidFill>
                                  <a:sysClr val="windowText" lastClr="000000"/>
                                </a:solidFill>
                                <a:prstDash val="solid"/>
                                <a:miter lim="800000"/>
                              </a:ln>
                              <a:effectLst/>
                            </wps:spPr>
                            <wps:bodyPr/>
                          </wps:wsp>
                        </wpg:grpSp>
                        <wpg:grpSp>
                          <wpg:cNvPr id="1748162153" name="Group 1748162153">
                            <a:extLst>
                              <a:ext uri="{FF2B5EF4-FFF2-40B4-BE49-F238E27FC236}">
                                <a16:creationId xmlns:a16="http://schemas.microsoft.com/office/drawing/2014/main" id="{C9E05E11-FEB3-03FD-1135-E26CE37F7D13}"/>
                              </a:ext>
                            </a:extLst>
                          </wpg:cNvPr>
                          <wpg:cNvGrpSpPr/>
                          <wpg:grpSpPr>
                            <a:xfrm>
                              <a:off x="0" y="669089"/>
                              <a:ext cx="1277350" cy="2272121"/>
                              <a:chOff x="0" y="838200"/>
                              <a:chExt cx="1600197" cy="2846392"/>
                            </a:xfrm>
                          </wpg:grpSpPr>
                          <wps:wsp>
                            <wps:cNvPr id="1706250314" name="TextBox 15">
                              <a:extLst>
                                <a:ext uri="{FF2B5EF4-FFF2-40B4-BE49-F238E27FC236}">
                                  <a16:creationId xmlns:a16="http://schemas.microsoft.com/office/drawing/2014/main" id="{2CFB2575-DB47-5907-CC06-8E839BD4941F}"/>
                                </a:ext>
                              </a:extLst>
                            </wps:cNvPr>
                            <wps:cNvSpPr txBox="1"/>
                            <wps:spPr>
                              <a:xfrm>
                                <a:off x="0" y="838200"/>
                                <a:ext cx="685716" cy="472524"/>
                              </a:xfrm>
                              <a:prstGeom prst="rect">
                                <a:avLst/>
                              </a:prstGeom>
                              <a:noFill/>
                            </wps:spPr>
                            <wps:txbx>
                              <w:txbxContent>
                                <w:p w14:paraId="08D20A8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SC1</w:t>
                                  </w:r>
                                </w:p>
                              </w:txbxContent>
                            </wps:txbx>
                            <wps:bodyPr wrap="square" rtlCol="0">
                              <a:spAutoFit/>
                            </wps:bodyPr>
                          </wps:wsp>
                          <wps:wsp>
                            <wps:cNvPr id="2139813312" name="TextBox 16">
                              <a:extLst>
                                <a:ext uri="{FF2B5EF4-FFF2-40B4-BE49-F238E27FC236}">
                                  <a16:creationId xmlns:a16="http://schemas.microsoft.com/office/drawing/2014/main" id="{14D1E807-2067-9247-733B-6D4FDEA24157}"/>
                                </a:ext>
                              </a:extLst>
                            </wps:cNvPr>
                            <wps:cNvSpPr txBox="1"/>
                            <wps:spPr>
                              <a:xfrm>
                                <a:off x="0" y="1840469"/>
                                <a:ext cx="685716" cy="472524"/>
                              </a:xfrm>
                              <a:prstGeom prst="rect">
                                <a:avLst/>
                              </a:prstGeom>
                              <a:noFill/>
                            </wps:spPr>
                            <wps:txbx>
                              <w:txbxContent>
                                <w:p w14:paraId="7CEAC0E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SC2</w:t>
                                  </w:r>
                                </w:p>
                              </w:txbxContent>
                            </wps:txbx>
                            <wps:bodyPr wrap="square" rtlCol="0">
                              <a:spAutoFit/>
                            </wps:bodyPr>
                          </wps:wsp>
                          <wps:wsp>
                            <wps:cNvPr id="277761236" name="TextBox 17">
                              <a:extLst>
                                <a:ext uri="{FF2B5EF4-FFF2-40B4-BE49-F238E27FC236}">
                                  <a16:creationId xmlns:a16="http://schemas.microsoft.com/office/drawing/2014/main" id="{595F85EE-8765-28DA-199E-3597E72184B7}"/>
                                </a:ext>
                              </a:extLst>
                            </wps:cNvPr>
                            <wps:cNvSpPr txBox="1"/>
                            <wps:spPr>
                              <a:xfrm>
                                <a:off x="0" y="3212068"/>
                                <a:ext cx="685716" cy="472524"/>
                              </a:xfrm>
                              <a:prstGeom prst="rect">
                                <a:avLst/>
                              </a:prstGeom>
                              <a:noFill/>
                            </wps:spPr>
                            <wps:txbx>
                              <w:txbxContent>
                                <w:p w14:paraId="54F7FC7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SC3</w:t>
                                  </w:r>
                                </w:p>
                              </w:txbxContent>
                            </wps:txbx>
                            <wps:bodyPr wrap="square" rtlCol="0">
                              <a:spAutoFit/>
                            </wps:bodyPr>
                          </wps:wsp>
                          <wps:wsp>
                            <wps:cNvPr id="158078416" name="Straight Connector 158078416">
                              <a:extLst>
                                <a:ext uri="{FF2B5EF4-FFF2-40B4-BE49-F238E27FC236}">
                                  <a16:creationId xmlns:a16="http://schemas.microsoft.com/office/drawing/2014/main" id="{190B0247-5323-6B3C-ED96-91A4E7972F01}"/>
                                </a:ext>
                              </a:extLst>
                            </wps:cNvPr>
                            <wps:cNvCnPr>
                              <a:cxnSpLocks/>
                            </wps:cNvCnPr>
                            <wps:spPr>
                              <a:xfrm>
                                <a:off x="0" y="2533296"/>
                                <a:ext cx="1600197" cy="0"/>
                              </a:xfrm>
                              <a:prstGeom prst="line">
                                <a:avLst/>
                              </a:prstGeom>
                              <a:noFill/>
                              <a:ln w="12700" cap="flat" cmpd="sng" algn="ctr">
                                <a:solidFill>
                                  <a:sysClr val="windowText" lastClr="000000"/>
                                </a:solidFill>
                                <a:prstDash val="solid"/>
                                <a:miter lim="800000"/>
                              </a:ln>
                              <a:effectLst/>
                            </wps:spPr>
                            <wps:bodyPr/>
                          </wps:wsp>
                          <wps:wsp>
                            <wps:cNvPr id="1046649489" name="Straight Connector 1046649489">
                              <a:extLst>
                                <a:ext uri="{FF2B5EF4-FFF2-40B4-BE49-F238E27FC236}">
                                  <a16:creationId xmlns:a16="http://schemas.microsoft.com/office/drawing/2014/main" id="{AEEC0CAB-EEC4-47FF-1936-A4AD997A2089}"/>
                                </a:ext>
                              </a:extLst>
                            </wps:cNvPr>
                            <wps:cNvCnPr>
                              <a:cxnSpLocks/>
                            </wps:cNvCnPr>
                            <wps:spPr>
                              <a:xfrm>
                                <a:off x="0" y="1440383"/>
                                <a:ext cx="1600197" cy="0"/>
                              </a:xfrm>
                              <a:prstGeom prst="line">
                                <a:avLst/>
                              </a:prstGeom>
                              <a:noFill/>
                              <a:ln w="12700" cap="flat" cmpd="sng" algn="ctr">
                                <a:solidFill>
                                  <a:sysClr val="windowText" lastClr="000000"/>
                                </a:solidFill>
                                <a:prstDash val="solid"/>
                                <a:miter lim="800000"/>
                              </a:ln>
                              <a:effectLst/>
                            </wps:spPr>
                            <wps:bodyPr/>
                          </wps:wsp>
                        </wpg:grpSp>
                        <wpg:grpSp>
                          <wpg:cNvPr id="1208048553" name="Group 1208048553">
                            <a:extLst>
                              <a:ext uri="{FF2B5EF4-FFF2-40B4-BE49-F238E27FC236}">
                                <a16:creationId xmlns:a16="http://schemas.microsoft.com/office/drawing/2014/main" id="{55EAC61D-2498-AB31-B590-01681ABE4E93}"/>
                              </a:ext>
                            </a:extLst>
                          </wpg:cNvPr>
                          <wpg:cNvGrpSpPr/>
                          <wpg:grpSpPr>
                            <a:xfrm>
                              <a:off x="1520658" y="52619"/>
                              <a:ext cx="1230189" cy="3414481"/>
                              <a:chOff x="1905000" y="65918"/>
                              <a:chExt cx="1541116" cy="4277482"/>
                            </a:xfrm>
                          </wpg:grpSpPr>
                          <wps:wsp>
                            <wps:cNvPr id="393345429" name="Rectangle 393345429">
                              <a:extLst>
                                <a:ext uri="{FF2B5EF4-FFF2-40B4-BE49-F238E27FC236}">
                                  <a16:creationId xmlns:a16="http://schemas.microsoft.com/office/drawing/2014/main" id="{89F63186-7470-5190-29DA-EE48CBAAAE1F}"/>
                                </a:ext>
                              </a:extLst>
                            </wps:cNvPr>
                            <wps:cNvSpPr/>
                            <wps:spPr>
                              <a:xfrm>
                                <a:off x="1905000" y="685800"/>
                                <a:ext cx="914400" cy="3657600"/>
                              </a:xfrm>
                              <a:prstGeom prst="rect">
                                <a:avLst/>
                              </a:prstGeom>
                              <a:solidFill>
                                <a:srgbClr val="70AD47">
                                  <a:lumMod val="40000"/>
                                  <a:lumOff val="60000"/>
                                </a:srgbClr>
                              </a:solidFill>
                              <a:ln w="12700" cap="flat" cmpd="sng" algn="ctr">
                                <a:solidFill>
                                  <a:sysClr val="windowText" lastClr="000000"/>
                                </a:solidFill>
                                <a:prstDash val="solid"/>
                                <a:miter lim="800000"/>
                              </a:ln>
                              <a:effectLst/>
                            </wps:spPr>
                            <wps:bodyPr rtlCol="0" anchor="ctr"/>
                          </wps:wsp>
                          <wps:wsp>
                            <wps:cNvPr id="741491171" name="Straight Connector 741491171">
                              <a:extLst>
                                <a:ext uri="{FF2B5EF4-FFF2-40B4-BE49-F238E27FC236}">
                                  <a16:creationId xmlns:a16="http://schemas.microsoft.com/office/drawing/2014/main" id="{012EAABF-9314-D6AF-B155-A049751DD8CA}"/>
                                </a:ext>
                              </a:extLst>
                            </wps:cNvPr>
                            <wps:cNvCnPr>
                              <a:cxnSpLocks/>
                            </wps:cNvCnPr>
                            <wps:spPr>
                              <a:xfrm>
                                <a:off x="1905000" y="2764745"/>
                                <a:ext cx="914400" cy="0"/>
                              </a:xfrm>
                              <a:prstGeom prst="line">
                                <a:avLst/>
                              </a:prstGeom>
                              <a:noFill/>
                              <a:ln w="12700" cap="flat" cmpd="sng" algn="ctr">
                                <a:solidFill>
                                  <a:sysClr val="windowText" lastClr="000000"/>
                                </a:solidFill>
                                <a:prstDash val="solid"/>
                                <a:miter lim="800000"/>
                              </a:ln>
                              <a:effectLst/>
                            </wps:spPr>
                            <wps:bodyPr/>
                          </wps:wsp>
                          <wps:wsp>
                            <wps:cNvPr id="205598575" name="Straight Connector 205598575">
                              <a:extLst>
                                <a:ext uri="{FF2B5EF4-FFF2-40B4-BE49-F238E27FC236}">
                                  <a16:creationId xmlns:a16="http://schemas.microsoft.com/office/drawing/2014/main" id="{191C9BF3-CF2A-7870-0A81-8A0B51F6E33F}"/>
                                </a:ext>
                              </a:extLst>
                            </wps:cNvPr>
                            <wps:cNvCnPr>
                              <a:cxnSpLocks/>
                            </wps:cNvCnPr>
                            <wps:spPr>
                              <a:xfrm>
                                <a:off x="1905000" y="1850346"/>
                                <a:ext cx="914400" cy="0"/>
                              </a:xfrm>
                              <a:prstGeom prst="line">
                                <a:avLst/>
                              </a:prstGeom>
                              <a:noFill/>
                              <a:ln w="12700" cap="flat" cmpd="sng" algn="ctr">
                                <a:solidFill>
                                  <a:sysClr val="windowText" lastClr="000000"/>
                                </a:solidFill>
                                <a:prstDash val="solid"/>
                                <a:miter lim="800000"/>
                              </a:ln>
                              <a:effectLst/>
                            </wps:spPr>
                            <wps:bodyPr/>
                          </wps:wsp>
                          <wps:wsp>
                            <wps:cNvPr id="191047418" name="Straight Connector 191047418">
                              <a:extLst>
                                <a:ext uri="{FF2B5EF4-FFF2-40B4-BE49-F238E27FC236}">
                                  <a16:creationId xmlns:a16="http://schemas.microsoft.com/office/drawing/2014/main" id="{CBB96C91-9548-BD05-1377-1AB4F4F40CAF}"/>
                                </a:ext>
                              </a:extLst>
                            </wps:cNvPr>
                            <wps:cNvCnPr>
                              <a:cxnSpLocks/>
                            </wps:cNvCnPr>
                            <wps:spPr>
                              <a:xfrm>
                                <a:off x="1905000" y="1073106"/>
                                <a:ext cx="914400" cy="0"/>
                              </a:xfrm>
                              <a:prstGeom prst="line">
                                <a:avLst/>
                              </a:prstGeom>
                              <a:noFill/>
                              <a:ln w="12700" cap="flat" cmpd="sng" algn="ctr">
                                <a:solidFill>
                                  <a:sysClr val="windowText" lastClr="000000"/>
                                </a:solidFill>
                                <a:prstDash val="solid"/>
                                <a:miter lim="800000"/>
                              </a:ln>
                              <a:effectLst/>
                            </wps:spPr>
                            <wps:bodyPr/>
                          </wps:wsp>
                          <wps:wsp>
                            <wps:cNvPr id="1137891688" name="Straight Connector 1137891688">
                              <a:extLst>
                                <a:ext uri="{FF2B5EF4-FFF2-40B4-BE49-F238E27FC236}">
                                  <a16:creationId xmlns:a16="http://schemas.microsoft.com/office/drawing/2014/main" id="{F6099EAA-C722-1112-2177-B40AECC5EF58}"/>
                                </a:ext>
                              </a:extLst>
                            </wps:cNvPr>
                            <wps:cNvCnPr>
                              <a:cxnSpLocks/>
                            </wps:cNvCnPr>
                            <wps:spPr>
                              <a:xfrm flipH="1">
                                <a:off x="2810003" y="2514599"/>
                                <a:ext cx="636113" cy="250146"/>
                              </a:xfrm>
                              <a:prstGeom prst="line">
                                <a:avLst/>
                              </a:prstGeom>
                              <a:noFill/>
                              <a:ln w="12700" cap="flat" cmpd="sng" algn="ctr">
                                <a:solidFill>
                                  <a:sysClr val="windowText" lastClr="000000"/>
                                </a:solidFill>
                                <a:prstDash val="dash"/>
                                <a:miter lim="800000"/>
                              </a:ln>
                              <a:effectLst/>
                            </wps:spPr>
                            <wps:bodyPr/>
                          </wps:wsp>
                          <wps:wsp>
                            <wps:cNvPr id="96145745" name="Straight Connector 96145745">
                              <a:extLst>
                                <a:ext uri="{FF2B5EF4-FFF2-40B4-BE49-F238E27FC236}">
                                  <a16:creationId xmlns:a16="http://schemas.microsoft.com/office/drawing/2014/main" id="{18A9B0F3-55F1-960E-EA66-2C07D0EFB064}"/>
                                </a:ext>
                              </a:extLst>
                            </wps:cNvPr>
                            <wps:cNvCnPr>
                              <a:cxnSpLocks/>
                            </wps:cNvCnPr>
                            <wps:spPr>
                              <a:xfrm flipH="1">
                                <a:off x="2819392" y="1443584"/>
                                <a:ext cx="626724" cy="385216"/>
                              </a:xfrm>
                              <a:prstGeom prst="line">
                                <a:avLst/>
                              </a:prstGeom>
                              <a:noFill/>
                              <a:ln w="12700" cap="flat" cmpd="sng" algn="ctr">
                                <a:solidFill>
                                  <a:sysClr val="windowText" lastClr="000000"/>
                                </a:solidFill>
                                <a:prstDash val="dash"/>
                                <a:miter lim="800000"/>
                              </a:ln>
                              <a:effectLst/>
                            </wps:spPr>
                            <wps:bodyPr/>
                          </wps:wsp>
                          <wps:wsp>
                            <wps:cNvPr id="1583173330" name="Straight Connector 1583173330">
                              <a:extLst>
                                <a:ext uri="{FF2B5EF4-FFF2-40B4-BE49-F238E27FC236}">
                                  <a16:creationId xmlns:a16="http://schemas.microsoft.com/office/drawing/2014/main" id="{1567C577-97A6-2A24-FDB3-D8C22AF04B1B}"/>
                                </a:ext>
                              </a:extLst>
                            </wps:cNvPr>
                            <wps:cNvCnPr>
                              <a:cxnSpLocks/>
                            </wps:cNvCnPr>
                            <wps:spPr>
                              <a:xfrm flipH="1">
                                <a:off x="2819392" y="523117"/>
                                <a:ext cx="626724" cy="543682"/>
                              </a:xfrm>
                              <a:prstGeom prst="line">
                                <a:avLst/>
                              </a:prstGeom>
                              <a:noFill/>
                              <a:ln w="12700" cap="flat" cmpd="sng" algn="ctr">
                                <a:solidFill>
                                  <a:sysClr val="windowText" lastClr="000000"/>
                                </a:solidFill>
                                <a:prstDash val="dash"/>
                                <a:miter lim="800000"/>
                              </a:ln>
                              <a:effectLst/>
                            </wps:spPr>
                            <wps:bodyPr/>
                          </wps:wsp>
                          <wps:wsp>
                            <wps:cNvPr id="1213807392" name="Straight Connector 1213807392">
                              <a:extLst>
                                <a:ext uri="{FF2B5EF4-FFF2-40B4-BE49-F238E27FC236}">
                                  <a16:creationId xmlns:a16="http://schemas.microsoft.com/office/drawing/2014/main" id="{BF0CF0B4-4FA8-3D1B-CA13-4F1F120CA4BE}"/>
                                </a:ext>
                              </a:extLst>
                            </wps:cNvPr>
                            <wps:cNvCnPr>
                              <a:cxnSpLocks/>
                            </wps:cNvCnPr>
                            <wps:spPr>
                              <a:xfrm flipH="1">
                                <a:off x="2810003" y="65918"/>
                                <a:ext cx="636110" cy="611271"/>
                              </a:xfrm>
                              <a:prstGeom prst="line">
                                <a:avLst/>
                              </a:prstGeom>
                              <a:noFill/>
                              <a:ln w="12700" cap="flat" cmpd="sng" algn="ctr">
                                <a:solidFill>
                                  <a:sysClr val="windowText" lastClr="000000"/>
                                </a:solidFill>
                                <a:prstDash val="dash"/>
                                <a:miter lim="800000"/>
                              </a:ln>
                              <a:effectLst/>
                            </wps:spPr>
                            <wps:bodyPr/>
                          </wps:wsp>
                          <wps:wsp>
                            <wps:cNvPr id="1254814764" name="Arrow: Left 1254814764">
                              <a:extLst>
                                <a:ext uri="{FF2B5EF4-FFF2-40B4-BE49-F238E27FC236}">
                                  <a16:creationId xmlns:a16="http://schemas.microsoft.com/office/drawing/2014/main" id="{0ADF54EE-D30D-3C1D-09B0-2220AAF95A31}"/>
                                </a:ext>
                              </a:extLst>
                            </wps:cNvPr>
                            <wps:cNvSpPr/>
                            <wps:spPr>
                              <a:xfrm>
                                <a:off x="2971800" y="2057400"/>
                                <a:ext cx="304801" cy="274319"/>
                              </a:xfrm>
                              <a:prstGeom prst="leftArrow">
                                <a:avLst/>
                              </a:prstGeom>
                              <a:solidFill>
                                <a:srgbClr val="5B9BD5"/>
                              </a:solidFill>
                              <a:ln w="12700" cap="flat" cmpd="sng" algn="ctr">
                                <a:solidFill>
                                  <a:sysClr val="windowText" lastClr="000000"/>
                                </a:solidFill>
                                <a:prstDash val="solid"/>
                                <a:miter lim="800000"/>
                              </a:ln>
                              <a:effectLst/>
                            </wps:spPr>
                            <wps:bodyPr rtlCol="0" anchor="ctr"/>
                          </wps:wsp>
                        </wpg:grpSp>
                        <wpg:grpSp>
                          <wpg:cNvPr id="1998098676" name="Group 1998098676">
                            <a:extLst>
                              <a:ext uri="{FF2B5EF4-FFF2-40B4-BE49-F238E27FC236}">
                                <a16:creationId xmlns:a16="http://schemas.microsoft.com/office/drawing/2014/main" id="{0FE5D877-3968-11F5-D3A5-1B7FE4FFF1CB}"/>
                              </a:ext>
                            </a:extLst>
                          </wpg:cNvPr>
                          <wpg:cNvGrpSpPr/>
                          <wpg:grpSpPr>
                            <a:xfrm>
                              <a:off x="653224" y="582722"/>
                              <a:ext cx="1603715" cy="2363054"/>
                              <a:chOff x="818325" y="730003"/>
                              <a:chExt cx="2009049" cy="2960312"/>
                            </a:xfrm>
                          </wpg:grpSpPr>
                          <wps:wsp>
                            <wps:cNvPr id="1702968530" name="TextBox 97">
                              <a:extLst>
                                <a:ext uri="{FF2B5EF4-FFF2-40B4-BE49-F238E27FC236}">
                                  <a16:creationId xmlns:a16="http://schemas.microsoft.com/office/drawing/2014/main" id="{A31D4645-420B-4D7C-133B-87F2731BD334}"/>
                                </a:ext>
                              </a:extLst>
                            </wps:cNvPr>
                            <wps:cNvSpPr txBox="1"/>
                            <wps:spPr>
                              <a:xfrm>
                                <a:off x="818325" y="734849"/>
                                <a:ext cx="685716" cy="472524"/>
                              </a:xfrm>
                              <a:prstGeom prst="rect">
                                <a:avLst/>
                              </a:prstGeom>
                              <a:noFill/>
                            </wps:spPr>
                            <wps:txbx>
                              <w:txbxContent>
                                <w:p w14:paraId="489C6BA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TSR1</w:t>
                                  </w:r>
                                </w:p>
                              </w:txbxContent>
                            </wps:txbx>
                            <wps:bodyPr wrap="square" rtlCol="0">
                              <a:spAutoFit/>
                            </wps:bodyPr>
                          </wps:wsp>
                          <wps:wsp>
                            <wps:cNvPr id="1778789471" name="TextBox 99">
                              <a:extLst>
                                <a:ext uri="{FF2B5EF4-FFF2-40B4-BE49-F238E27FC236}">
                                  <a16:creationId xmlns:a16="http://schemas.microsoft.com/office/drawing/2014/main" id="{CF771C98-C070-8EFB-A6C8-249E24588333}"/>
                                </a:ext>
                              </a:extLst>
                            </wps:cNvPr>
                            <wps:cNvSpPr txBox="1"/>
                            <wps:spPr>
                              <a:xfrm>
                                <a:off x="818325" y="1092751"/>
                                <a:ext cx="685716" cy="472524"/>
                              </a:xfrm>
                              <a:prstGeom prst="rect">
                                <a:avLst/>
                              </a:prstGeom>
                              <a:noFill/>
                            </wps:spPr>
                            <wps:txbx>
                              <w:txbxContent>
                                <w:p w14:paraId="33DB5930"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TSR2</w:t>
                                  </w:r>
                                </w:p>
                              </w:txbxContent>
                            </wps:txbx>
                            <wps:bodyPr wrap="square" rtlCol="0">
                              <a:spAutoFit/>
                            </wps:bodyPr>
                          </wps:wsp>
                          <wps:wsp>
                            <wps:cNvPr id="1394078268" name="TextBox 107">
                              <a:extLst>
                                <a:ext uri="{FF2B5EF4-FFF2-40B4-BE49-F238E27FC236}">
                                  <a16:creationId xmlns:a16="http://schemas.microsoft.com/office/drawing/2014/main" id="{3F53CC20-4DA3-BBD4-A980-BF0E17827B7C}"/>
                                </a:ext>
                              </a:extLst>
                            </wps:cNvPr>
                            <wps:cNvSpPr txBox="1"/>
                            <wps:spPr>
                              <a:xfrm>
                                <a:off x="818325" y="1476972"/>
                                <a:ext cx="685716" cy="472524"/>
                              </a:xfrm>
                              <a:prstGeom prst="rect">
                                <a:avLst/>
                              </a:prstGeom>
                              <a:noFill/>
                            </wps:spPr>
                            <wps:txbx>
                              <w:txbxContent>
                                <w:p w14:paraId="00F946A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TSR3</w:t>
                                  </w:r>
                                </w:p>
                              </w:txbxContent>
                            </wps:txbx>
                            <wps:bodyPr wrap="square" rtlCol="0">
                              <a:spAutoFit/>
                            </wps:bodyPr>
                          </wps:wsp>
                          <wps:wsp>
                            <wps:cNvPr id="1069450536" name="TextBox 109">
                              <a:extLst>
                                <a:ext uri="{FF2B5EF4-FFF2-40B4-BE49-F238E27FC236}">
                                  <a16:creationId xmlns:a16="http://schemas.microsoft.com/office/drawing/2014/main" id="{CCEBAE93-18C7-3C3B-932D-8F4744C593EF}"/>
                                </a:ext>
                              </a:extLst>
                            </wps:cNvPr>
                            <wps:cNvSpPr txBox="1"/>
                            <wps:spPr>
                              <a:xfrm>
                                <a:off x="818325" y="2062246"/>
                                <a:ext cx="685716" cy="472524"/>
                              </a:xfrm>
                              <a:prstGeom prst="rect">
                                <a:avLst/>
                              </a:prstGeom>
                              <a:noFill/>
                            </wps:spPr>
                            <wps:txbx>
                              <w:txbxContent>
                                <w:p w14:paraId="761841B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TSR4</w:t>
                                  </w:r>
                                </w:p>
                              </w:txbxContent>
                            </wps:txbx>
                            <wps:bodyPr wrap="square" rtlCol="0">
                              <a:spAutoFit/>
                            </wps:bodyPr>
                          </wps:wsp>
                          <wps:wsp>
                            <wps:cNvPr id="294039637" name="TextBox 113">
                              <a:extLst>
                                <a:ext uri="{FF2B5EF4-FFF2-40B4-BE49-F238E27FC236}">
                                  <a16:creationId xmlns:a16="http://schemas.microsoft.com/office/drawing/2014/main" id="{F0681330-C463-F775-7CCB-5A122D6431D2}"/>
                                </a:ext>
                              </a:extLst>
                            </wps:cNvPr>
                            <wps:cNvSpPr txBox="1"/>
                            <wps:spPr>
                              <a:xfrm>
                                <a:off x="818325" y="2481120"/>
                                <a:ext cx="685716" cy="472524"/>
                              </a:xfrm>
                              <a:prstGeom prst="rect">
                                <a:avLst/>
                              </a:prstGeom>
                              <a:noFill/>
                            </wps:spPr>
                            <wps:txbx>
                              <w:txbxContent>
                                <w:p w14:paraId="1B9D1904"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TSR5</w:t>
                                  </w:r>
                                </w:p>
                              </w:txbxContent>
                            </wps:txbx>
                            <wps:bodyPr wrap="square" rtlCol="0">
                              <a:spAutoFit/>
                            </wps:bodyPr>
                          </wps:wsp>
                          <wps:wsp>
                            <wps:cNvPr id="1484127785" name="TextBox 115">
                              <a:extLst>
                                <a:ext uri="{FF2B5EF4-FFF2-40B4-BE49-F238E27FC236}">
                                  <a16:creationId xmlns:a16="http://schemas.microsoft.com/office/drawing/2014/main" id="{7599C201-E2FF-A7D3-AA98-D414AF11FB56}"/>
                                </a:ext>
                              </a:extLst>
                            </wps:cNvPr>
                            <wps:cNvSpPr txBox="1"/>
                            <wps:spPr>
                              <a:xfrm>
                                <a:off x="818325" y="3217791"/>
                                <a:ext cx="685716" cy="472524"/>
                              </a:xfrm>
                              <a:prstGeom prst="rect">
                                <a:avLst/>
                              </a:prstGeom>
                              <a:noFill/>
                            </wps:spPr>
                            <wps:txbx>
                              <w:txbxContent>
                                <w:p w14:paraId="74D57B40"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TSR6</w:t>
                                  </w:r>
                                </w:p>
                              </w:txbxContent>
                            </wps:txbx>
                            <wps:bodyPr wrap="square" rtlCol="0">
                              <a:spAutoFit/>
                            </wps:bodyPr>
                          </wps:wsp>
                          <wps:wsp>
                            <wps:cNvPr id="1219199648" name="Straight Arrow Connector 1219199648">
                              <a:extLst>
                                <a:ext uri="{FF2B5EF4-FFF2-40B4-BE49-F238E27FC236}">
                                  <a16:creationId xmlns:a16="http://schemas.microsoft.com/office/drawing/2014/main" id="{B019BD10-C576-50C0-15B2-6FA025A9465E}"/>
                                </a:ext>
                              </a:extLst>
                            </wps:cNvPr>
                            <wps:cNvCnPr/>
                            <wps:spPr>
                              <a:xfrm>
                                <a:off x="1466025" y="888439"/>
                                <a:ext cx="609601" cy="0"/>
                              </a:xfrm>
                              <a:prstGeom prst="straightConnector1">
                                <a:avLst/>
                              </a:prstGeom>
                              <a:noFill/>
                              <a:ln w="28575" cap="flat" cmpd="sng" algn="ctr">
                                <a:solidFill>
                                  <a:srgbClr val="0000FF"/>
                                </a:solidFill>
                                <a:prstDash val="solid"/>
                                <a:miter lim="800000"/>
                                <a:tailEnd type="triangle"/>
                              </a:ln>
                              <a:effectLst/>
                            </wps:spPr>
                            <wps:bodyPr/>
                          </wps:wsp>
                          <wps:wsp>
                            <wps:cNvPr id="1494235742" name="TextBox 98">
                              <a:extLst>
                                <a:ext uri="{FF2B5EF4-FFF2-40B4-BE49-F238E27FC236}">
                                  <a16:creationId xmlns:a16="http://schemas.microsoft.com/office/drawing/2014/main" id="{9DED218C-A9D2-9E9E-C463-BBFE2E06D900}"/>
                                </a:ext>
                              </a:extLst>
                            </wps:cNvPr>
                            <wps:cNvSpPr txBox="1"/>
                            <wps:spPr>
                              <a:xfrm>
                                <a:off x="2009606" y="730003"/>
                                <a:ext cx="817768" cy="472524"/>
                              </a:xfrm>
                              <a:prstGeom prst="rect">
                                <a:avLst/>
                              </a:prstGeom>
                              <a:noFill/>
                            </wps:spPr>
                            <wps:txbx>
                              <w:txbxContent>
                                <w:p w14:paraId="3CE64D6C"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TSR1'</w:t>
                                  </w:r>
                                </w:p>
                              </w:txbxContent>
                            </wps:txbx>
                            <wps:bodyPr wrap="square" rtlCol="0">
                              <a:spAutoFit/>
                            </wps:bodyPr>
                          </wps:wsp>
                          <wps:wsp>
                            <wps:cNvPr id="1002365028" name="TextBox 100">
                              <a:extLst>
                                <a:ext uri="{FF2B5EF4-FFF2-40B4-BE49-F238E27FC236}">
                                  <a16:creationId xmlns:a16="http://schemas.microsoft.com/office/drawing/2014/main" id="{94BE6B23-FEBC-3D40-5510-47AB072241E9}"/>
                                </a:ext>
                              </a:extLst>
                            </wps:cNvPr>
                            <wps:cNvSpPr txBox="1"/>
                            <wps:spPr>
                              <a:xfrm>
                                <a:off x="1993058" y="1087904"/>
                                <a:ext cx="801858" cy="472524"/>
                              </a:xfrm>
                              <a:prstGeom prst="rect">
                                <a:avLst/>
                              </a:prstGeom>
                              <a:noFill/>
                            </wps:spPr>
                            <wps:txbx>
                              <w:txbxContent>
                                <w:p w14:paraId="6A34F5C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TSR2'</w:t>
                                  </w:r>
                                </w:p>
                              </w:txbxContent>
                            </wps:txbx>
                            <wps:bodyPr wrap="square" rtlCol="0">
                              <a:spAutoFit/>
                            </wps:bodyPr>
                          </wps:wsp>
                          <wps:wsp>
                            <wps:cNvPr id="392646316" name="TextBox 108">
                              <a:extLst>
                                <a:ext uri="{FF2B5EF4-FFF2-40B4-BE49-F238E27FC236}">
                                  <a16:creationId xmlns:a16="http://schemas.microsoft.com/office/drawing/2014/main" id="{7E148FE1-F5C4-9FA4-7955-C46220A039A7}"/>
                                </a:ext>
                              </a:extLst>
                            </wps:cNvPr>
                            <wps:cNvSpPr txBox="1"/>
                            <wps:spPr>
                              <a:xfrm>
                                <a:off x="2009606" y="1472124"/>
                                <a:ext cx="817768" cy="472524"/>
                              </a:xfrm>
                              <a:prstGeom prst="rect">
                                <a:avLst/>
                              </a:prstGeom>
                              <a:noFill/>
                            </wps:spPr>
                            <wps:txbx>
                              <w:txbxContent>
                                <w:p w14:paraId="0CC5F9C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TSR3'</w:t>
                                  </w:r>
                                </w:p>
                              </w:txbxContent>
                            </wps:txbx>
                            <wps:bodyPr wrap="square" rtlCol="0">
                              <a:spAutoFit/>
                            </wps:bodyPr>
                          </wps:wsp>
                          <wps:wsp>
                            <wps:cNvPr id="1996030471" name="TextBox 110">
                              <a:extLst>
                                <a:ext uri="{FF2B5EF4-FFF2-40B4-BE49-F238E27FC236}">
                                  <a16:creationId xmlns:a16="http://schemas.microsoft.com/office/drawing/2014/main" id="{9DF0EB00-365B-0AFA-342D-C20BBD2776C0}"/>
                                </a:ext>
                              </a:extLst>
                            </wps:cNvPr>
                            <wps:cNvSpPr txBox="1"/>
                            <wps:spPr>
                              <a:xfrm>
                                <a:off x="2009606" y="2057402"/>
                                <a:ext cx="817768" cy="472524"/>
                              </a:xfrm>
                              <a:prstGeom prst="rect">
                                <a:avLst/>
                              </a:prstGeom>
                              <a:noFill/>
                            </wps:spPr>
                            <wps:txbx>
                              <w:txbxContent>
                                <w:p w14:paraId="220C5EBA"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TSR4'</w:t>
                                  </w:r>
                                </w:p>
                              </w:txbxContent>
                            </wps:txbx>
                            <wps:bodyPr wrap="square" rtlCol="0">
                              <a:spAutoFit/>
                            </wps:bodyPr>
                          </wps:wsp>
                          <wps:wsp>
                            <wps:cNvPr id="1459683028" name="TextBox 114">
                              <a:extLst>
                                <a:ext uri="{FF2B5EF4-FFF2-40B4-BE49-F238E27FC236}">
                                  <a16:creationId xmlns:a16="http://schemas.microsoft.com/office/drawing/2014/main" id="{18AB2DCA-17AA-C989-A98C-9146AC53DFCA}"/>
                                </a:ext>
                              </a:extLst>
                            </wps:cNvPr>
                            <wps:cNvSpPr txBox="1"/>
                            <wps:spPr>
                              <a:xfrm>
                                <a:off x="2022846" y="2476273"/>
                                <a:ext cx="751742" cy="472524"/>
                              </a:xfrm>
                              <a:prstGeom prst="rect">
                                <a:avLst/>
                              </a:prstGeom>
                              <a:noFill/>
                            </wps:spPr>
                            <wps:txbx>
                              <w:txbxContent>
                                <w:p w14:paraId="4F9ABCB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TSR5'</w:t>
                                  </w:r>
                                </w:p>
                              </w:txbxContent>
                            </wps:txbx>
                            <wps:bodyPr wrap="square" rtlCol="0">
                              <a:spAutoFit/>
                            </wps:bodyPr>
                          </wps:wsp>
                          <wps:wsp>
                            <wps:cNvPr id="536498911" name="TextBox 116">
                              <a:extLst>
                                <a:ext uri="{FF2B5EF4-FFF2-40B4-BE49-F238E27FC236}">
                                  <a16:creationId xmlns:a16="http://schemas.microsoft.com/office/drawing/2014/main" id="{66C181F5-7F63-3D65-4F62-0B6EF66DE1DC}"/>
                                </a:ext>
                              </a:extLst>
                            </wps:cNvPr>
                            <wps:cNvSpPr txBox="1"/>
                            <wps:spPr>
                              <a:xfrm>
                                <a:off x="2009606" y="3212947"/>
                                <a:ext cx="817768" cy="472524"/>
                              </a:xfrm>
                              <a:prstGeom prst="rect">
                                <a:avLst/>
                              </a:prstGeom>
                              <a:noFill/>
                            </wps:spPr>
                            <wps:txbx>
                              <w:txbxContent>
                                <w:p w14:paraId="7E46ACB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TSR6'</w:t>
                                  </w:r>
                                </w:p>
                              </w:txbxContent>
                            </wps:txbx>
                            <wps:bodyPr wrap="square" rtlCol="0">
                              <a:spAutoFit/>
                            </wps:bodyPr>
                          </wps:wsp>
                          <wps:wsp>
                            <wps:cNvPr id="916782356" name="Straight Arrow Connector 916782356">
                              <a:extLst>
                                <a:ext uri="{FF2B5EF4-FFF2-40B4-BE49-F238E27FC236}">
                                  <a16:creationId xmlns:a16="http://schemas.microsoft.com/office/drawing/2014/main" id="{DB9E3018-D47D-8C85-AC4D-9DC61DF75604}"/>
                                </a:ext>
                              </a:extLst>
                            </wps:cNvPr>
                            <wps:cNvCnPr/>
                            <wps:spPr>
                              <a:xfrm>
                                <a:off x="1466025" y="3372560"/>
                                <a:ext cx="609601" cy="0"/>
                              </a:xfrm>
                              <a:prstGeom prst="straightConnector1">
                                <a:avLst/>
                              </a:prstGeom>
                              <a:noFill/>
                              <a:ln w="28575" cap="flat" cmpd="sng" algn="ctr">
                                <a:solidFill>
                                  <a:srgbClr val="0000FF"/>
                                </a:solidFill>
                                <a:prstDash val="solid"/>
                                <a:miter lim="800000"/>
                                <a:tailEnd type="triangle"/>
                              </a:ln>
                              <a:effectLst/>
                            </wps:spPr>
                            <wps:bodyPr/>
                          </wps:wsp>
                          <wps:wsp>
                            <wps:cNvPr id="1484220036" name="Straight Arrow Connector 1484220036">
                              <a:extLst>
                                <a:ext uri="{FF2B5EF4-FFF2-40B4-BE49-F238E27FC236}">
                                  <a16:creationId xmlns:a16="http://schemas.microsoft.com/office/drawing/2014/main" id="{C633FB43-D55E-6509-98E6-54FECC320789}"/>
                                </a:ext>
                              </a:extLst>
                            </wps:cNvPr>
                            <wps:cNvCnPr/>
                            <wps:spPr>
                              <a:xfrm>
                                <a:off x="1466025" y="2651760"/>
                                <a:ext cx="609601" cy="0"/>
                              </a:xfrm>
                              <a:prstGeom prst="straightConnector1">
                                <a:avLst/>
                              </a:prstGeom>
                              <a:noFill/>
                              <a:ln w="28575" cap="flat" cmpd="sng" algn="ctr">
                                <a:solidFill>
                                  <a:srgbClr val="0000FF"/>
                                </a:solidFill>
                                <a:prstDash val="solid"/>
                                <a:miter lim="800000"/>
                                <a:tailEnd type="triangle"/>
                              </a:ln>
                              <a:effectLst/>
                            </wps:spPr>
                            <wps:bodyPr/>
                          </wps:wsp>
                          <wps:wsp>
                            <wps:cNvPr id="1237661458" name="Straight Arrow Connector 1237661458">
                              <a:extLst>
                                <a:ext uri="{FF2B5EF4-FFF2-40B4-BE49-F238E27FC236}">
                                  <a16:creationId xmlns:a16="http://schemas.microsoft.com/office/drawing/2014/main" id="{F85B4FC1-8C48-0A16-34BE-6BBFAB072935}"/>
                                </a:ext>
                              </a:extLst>
                            </wps:cNvPr>
                            <wps:cNvCnPr/>
                            <wps:spPr>
                              <a:xfrm>
                                <a:off x="1466025" y="2223646"/>
                                <a:ext cx="609601" cy="0"/>
                              </a:xfrm>
                              <a:prstGeom prst="straightConnector1">
                                <a:avLst/>
                              </a:prstGeom>
                              <a:noFill/>
                              <a:ln w="28575" cap="flat" cmpd="sng" algn="ctr">
                                <a:solidFill>
                                  <a:srgbClr val="0000FF"/>
                                </a:solidFill>
                                <a:prstDash val="solid"/>
                                <a:miter lim="800000"/>
                                <a:tailEnd type="triangle"/>
                              </a:ln>
                              <a:effectLst/>
                            </wps:spPr>
                            <wps:bodyPr/>
                          </wps:wsp>
                          <wps:wsp>
                            <wps:cNvPr id="493055386" name="Straight Arrow Connector 493055386">
                              <a:extLst>
                                <a:ext uri="{FF2B5EF4-FFF2-40B4-BE49-F238E27FC236}">
                                  <a16:creationId xmlns:a16="http://schemas.microsoft.com/office/drawing/2014/main" id="{CB73A73F-1200-6519-59E8-7FA11DA50D3A}"/>
                                </a:ext>
                              </a:extLst>
                            </wps:cNvPr>
                            <wps:cNvCnPr/>
                            <wps:spPr>
                              <a:xfrm>
                                <a:off x="1466025" y="1650003"/>
                                <a:ext cx="609601" cy="0"/>
                              </a:xfrm>
                              <a:prstGeom prst="straightConnector1">
                                <a:avLst/>
                              </a:prstGeom>
                              <a:noFill/>
                              <a:ln w="28575" cap="flat" cmpd="sng" algn="ctr">
                                <a:solidFill>
                                  <a:srgbClr val="0000FF"/>
                                </a:solidFill>
                                <a:prstDash val="solid"/>
                                <a:miter lim="800000"/>
                                <a:tailEnd type="triangle"/>
                              </a:ln>
                              <a:effectLst/>
                            </wps:spPr>
                            <wps:bodyPr/>
                          </wps:wsp>
                          <wps:wsp>
                            <wps:cNvPr id="884937128" name="Straight Arrow Connector 884937128">
                              <a:extLst>
                                <a:ext uri="{FF2B5EF4-FFF2-40B4-BE49-F238E27FC236}">
                                  <a16:creationId xmlns:a16="http://schemas.microsoft.com/office/drawing/2014/main" id="{5C886C70-9229-2045-F9EF-70EBB087CA56}"/>
                                </a:ext>
                              </a:extLst>
                            </wps:cNvPr>
                            <wps:cNvCnPr/>
                            <wps:spPr>
                              <a:xfrm>
                                <a:off x="1466025" y="1268896"/>
                                <a:ext cx="609601" cy="0"/>
                              </a:xfrm>
                              <a:prstGeom prst="straightConnector1">
                                <a:avLst/>
                              </a:prstGeom>
                              <a:noFill/>
                              <a:ln w="28575" cap="flat" cmpd="sng" algn="ctr">
                                <a:solidFill>
                                  <a:srgbClr val="0000FF"/>
                                </a:solidFill>
                                <a:prstDash val="solid"/>
                                <a:miter lim="800000"/>
                                <a:tailEnd type="triangle"/>
                              </a:ln>
                              <a:effectLst/>
                            </wps:spPr>
                            <wps:bodyPr/>
                          </wps:wsp>
                        </wpg:grpSp>
                        <wpg:grpSp>
                          <wpg:cNvPr id="1993009488" name="Group 1993009488">
                            <a:extLst>
                              <a:ext uri="{FF2B5EF4-FFF2-40B4-BE49-F238E27FC236}">
                                <a16:creationId xmlns:a16="http://schemas.microsoft.com/office/drawing/2014/main" id="{5A6C7118-9E8A-A445-6A8A-086EFC018FF2}"/>
                              </a:ext>
                            </a:extLst>
                          </wpg:cNvPr>
                          <wpg:cNvGrpSpPr/>
                          <wpg:grpSpPr>
                            <a:xfrm>
                              <a:off x="547434" y="860148"/>
                              <a:ext cx="973224" cy="1344704"/>
                              <a:chOff x="685797" y="1077548"/>
                              <a:chExt cx="1219203" cy="1684574"/>
                            </a:xfrm>
                          </wpg:grpSpPr>
                          <wps:wsp>
                            <wps:cNvPr id="2055640658" name="Straight Connector 2055640658">
                              <a:extLst>
                                <a:ext uri="{FF2B5EF4-FFF2-40B4-BE49-F238E27FC236}">
                                  <a16:creationId xmlns:a16="http://schemas.microsoft.com/office/drawing/2014/main" id="{E192D0D8-6E97-6110-F2DF-913901733EDF}"/>
                                </a:ext>
                              </a:extLst>
                            </wps:cNvPr>
                            <wps:cNvCnPr>
                              <a:cxnSpLocks/>
                            </wps:cNvCnPr>
                            <wps:spPr>
                              <a:xfrm flipH="1">
                                <a:off x="685797" y="2762122"/>
                                <a:ext cx="1219203" cy="0"/>
                              </a:xfrm>
                              <a:prstGeom prst="line">
                                <a:avLst/>
                              </a:prstGeom>
                              <a:noFill/>
                              <a:ln w="12700" cap="flat" cmpd="sng" algn="ctr">
                                <a:solidFill>
                                  <a:srgbClr val="0000FF"/>
                                </a:solidFill>
                                <a:prstDash val="lgDash"/>
                                <a:miter lim="800000"/>
                              </a:ln>
                              <a:effectLst/>
                            </wps:spPr>
                            <wps:bodyPr/>
                          </wps:wsp>
                          <wps:wsp>
                            <wps:cNvPr id="122830406" name="Straight Connector 122830406">
                              <a:extLst>
                                <a:ext uri="{FF2B5EF4-FFF2-40B4-BE49-F238E27FC236}">
                                  <a16:creationId xmlns:a16="http://schemas.microsoft.com/office/drawing/2014/main" id="{9EA7B987-E1BB-8988-FA29-5379579BB02E}"/>
                                </a:ext>
                              </a:extLst>
                            </wps:cNvPr>
                            <wps:cNvCnPr>
                              <a:cxnSpLocks/>
                            </wps:cNvCnPr>
                            <wps:spPr>
                              <a:xfrm flipH="1">
                                <a:off x="685797" y="1848531"/>
                                <a:ext cx="1219203" cy="0"/>
                              </a:xfrm>
                              <a:prstGeom prst="line">
                                <a:avLst/>
                              </a:prstGeom>
                              <a:noFill/>
                              <a:ln w="12700" cap="flat" cmpd="sng" algn="ctr">
                                <a:solidFill>
                                  <a:srgbClr val="0000FF"/>
                                </a:solidFill>
                                <a:prstDash val="lgDash"/>
                                <a:miter lim="800000"/>
                              </a:ln>
                              <a:effectLst/>
                            </wps:spPr>
                            <wps:bodyPr/>
                          </wps:wsp>
                          <wps:wsp>
                            <wps:cNvPr id="257322897" name="Straight Connector 257322897">
                              <a:extLst>
                                <a:ext uri="{FF2B5EF4-FFF2-40B4-BE49-F238E27FC236}">
                                  <a16:creationId xmlns:a16="http://schemas.microsoft.com/office/drawing/2014/main" id="{209165FF-92D9-DB78-5FE2-AF54F8181C95}"/>
                                </a:ext>
                              </a:extLst>
                            </wps:cNvPr>
                            <wps:cNvCnPr>
                              <a:cxnSpLocks/>
                            </wps:cNvCnPr>
                            <wps:spPr>
                              <a:xfrm flipH="1">
                                <a:off x="685797" y="1077548"/>
                                <a:ext cx="1219203" cy="0"/>
                              </a:xfrm>
                              <a:prstGeom prst="line">
                                <a:avLst/>
                              </a:prstGeom>
                              <a:noFill/>
                              <a:ln w="12700" cap="flat" cmpd="sng" algn="ctr">
                                <a:solidFill>
                                  <a:srgbClr val="0000FF"/>
                                </a:solidFill>
                                <a:prstDash val="lgDash"/>
                                <a:miter lim="800000"/>
                              </a:ln>
                              <a:effectLst/>
                            </wps:spPr>
                            <wps:bodyPr/>
                          </wps:wsp>
                        </wpg:grpSp>
                        <wpg:grpSp>
                          <wpg:cNvPr id="1773445461" name="Group 1773445461">
                            <a:extLst>
                              <a:ext uri="{FF2B5EF4-FFF2-40B4-BE49-F238E27FC236}">
                                <a16:creationId xmlns:a16="http://schemas.microsoft.com/office/drawing/2014/main" id="{1294E839-FCB7-981F-862D-3D54BE79AEDC}"/>
                              </a:ext>
                            </a:extLst>
                          </wpg:cNvPr>
                          <wpg:cNvGrpSpPr/>
                          <wpg:grpSpPr>
                            <a:xfrm>
                              <a:off x="1277350" y="1149779"/>
                              <a:ext cx="973219" cy="870067"/>
                              <a:chOff x="1600197" y="1440382"/>
                              <a:chExt cx="1219197" cy="1089974"/>
                            </a:xfrm>
                          </wpg:grpSpPr>
                          <wps:wsp>
                            <wps:cNvPr id="1169924352" name="Straight Connector 1169924352">
                              <a:extLst>
                                <a:ext uri="{FF2B5EF4-FFF2-40B4-BE49-F238E27FC236}">
                                  <a16:creationId xmlns:a16="http://schemas.microsoft.com/office/drawing/2014/main" id="{77F9CD53-FA2D-2F97-3446-C6A0BFD0C743}"/>
                                </a:ext>
                              </a:extLst>
                            </wps:cNvPr>
                            <wps:cNvCnPr>
                              <a:cxnSpLocks/>
                            </wps:cNvCnPr>
                            <wps:spPr>
                              <a:xfrm flipH="1">
                                <a:off x="1600197" y="1440382"/>
                                <a:ext cx="1219197" cy="0"/>
                              </a:xfrm>
                              <a:prstGeom prst="line">
                                <a:avLst/>
                              </a:prstGeom>
                              <a:noFill/>
                              <a:ln w="12700" cap="flat" cmpd="sng" algn="ctr">
                                <a:solidFill>
                                  <a:srgbClr val="0000FF"/>
                                </a:solidFill>
                                <a:prstDash val="lgDash"/>
                                <a:miter lim="800000"/>
                              </a:ln>
                              <a:effectLst/>
                            </wps:spPr>
                            <wps:bodyPr/>
                          </wps:wsp>
                          <wps:wsp>
                            <wps:cNvPr id="1761453634" name="Straight Connector 1761453634">
                              <a:extLst>
                                <a:ext uri="{FF2B5EF4-FFF2-40B4-BE49-F238E27FC236}">
                                  <a16:creationId xmlns:a16="http://schemas.microsoft.com/office/drawing/2014/main" id="{B276F3F1-30CB-6449-FBB7-9491DD332A70}"/>
                                </a:ext>
                              </a:extLst>
                            </wps:cNvPr>
                            <wps:cNvCnPr>
                              <a:cxnSpLocks/>
                            </wps:cNvCnPr>
                            <wps:spPr>
                              <a:xfrm flipH="1">
                                <a:off x="1600197" y="2530356"/>
                                <a:ext cx="1219197" cy="0"/>
                              </a:xfrm>
                              <a:prstGeom prst="line">
                                <a:avLst/>
                              </a:prstGeom>
                              <a:noFill/>
                              <a:ln w="12700" cap="flat" cmpd="sng" algn="ctr">
                                <a:solidFill>
                                  <a:srgbClr val="0000FF"/>
                                </a:solidFill>
                                <a:prstDash val="lgDash"/>
                                <a:miter lim="800000"/>
                              </a:ln>
                              <a:effectLst/>
                            </wps:spPr>
                            <wps:bodyPr/>
                          </wps:wsp>
                        </wpg:grpSp>
                      </wpg:wgp>
                    </wpc:wpc>
                  </a:graphicData>
                </a:graphic>
              </wp:inline>
            </w:drawing>
          </mc:Choice>
          <mc:Fallback>
            <w:pict>
              <v:group w14:anchorId="6897F5B3" id="Canvas 2" o:spid="_x0000_s1026" editas="canvas" style="width:468pt;height:273pt;mso-position-horizontal-relative:char;mso-position-vertical-relative:line" coordsize="59436,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zIIA0AALtrAAAOAAAAZHJzL2Uyb0RvYy54bWzsXdty27oVfe9M/4Gj98YECIKgJs6ZxE7S&#10;h7Q905x+AKObNZVElWQi5+/P2gAJkNTFlmxR4VQncxKLgigCe+37Avz2t8flwvsxyfJ5urodsDf+&#10;wJusRul4vprdDv7zx6e/qYGXF8lqnCzS1eR28HOSD35799e/vN2shxOePqSL8STzcJNVPtysbwcP&#10;RbEe3tzko4fJMsnfpOvJCm9O02yZFHiZzW7GWbLB3ZeLG+778maTZuN1lo4meY6r9+bNwTt9/+l0&#10;Mir+NZ3mk8Jb3A7wbIX+O9N/f6O/b969TYazLFk/zEflYyQnPMUyma/wpfZW90mReN+z+datlvNR&#10;lubptHgzSpc36XQ6H030HDAb5rdmc5esfiS5nswIq1M9IH56xft+m9Fz5+liPv40XyzoxTrLi7tF&#10;5v1IsGqbh3kxoXW6aYy6wVMM6bP07wZynGDIZj0bbmZrK09goCXQo+b/OUu/r/X0Z8PRP3/8nnnz&#10;MUDGfKZ8JYGsVbIEpvQwz10uHwSf+Jytv65/z8oLM/OKZvg4zZb0LwTgPd4OYsniCPD4aSExeSy8&#10;Ed4RfhBKHg28Ed4LhIyYX4Jm9ABk0Ycbnxs9fHzik1hG8+1YwRmgp5/QLJ1+YX500+V+6MtQqTBu&#10;zrd2/fgJhyISAWaFSYUckzd6UE2ax0EQcFlNmgmhmBlhJy1VqLASdAMZxkxVb1ezD2QkIlbeQvAo&#10;EorTmL2zh/rnDjj5y4Dz9SFZTzRw8gZwgjjgTPhhtZL/hn1IVrPFBOix7+nV1J+z2MmHOWC0Azj1&#10;ZTArgk8nw2ohYywdrZIGjwwjacBjF8Go2udJuvRI524HGR4Iz50Mkx9f8sKsF71DQ+hyQ03zbPbN&#10;qun7kP7ozy6+L/+Rjo324usrwOIyIVYrNR7EPkp5m7aCJ8PFyttA3Xikp5DAOk8XSYHZLNdQw3w1&#10;G3jJYgazPyoy/cXNp/uZ24eDwR6nmz+wLANvkWjjAr3R/5WgaHyUZnyf5A/mWfVbBl9LmKLMW8yX&#10;twOgD/+Vn16s9Kpre1+u22ZdCY1++paOf8J8ZMXiLjWeIFmNHlI4Anp2WmcaBQSS9nUBxUgJLmMV&#10;Q0OMEatB0b13DBQDISQjjWuq5C4o7tLHV4SiEBG/E1coFi+FovMQB/xDLAXclzbXdXfoLmsQaQf6&#10;XHcYwiMo4x1KZ1ehiEU+V4GoPMMudxj5AmPqvtT5RM7gV3hpEEWAP1aFd/vEDlQx9oWKfMmsUyAz&#10;9SF99DCJpv55xSOuwyJW1/c4hdoKMA7ZaMfXcAo+D8wSQlNCLkorVgUllcF/pk9YpRS3VTbMPBMZ&#10;seLx22M5gdL8bRDnwnD/73uSTQY1Y6g9y/r99wJ30k7HmczuLWMQKxZKOMvKMlp56CiFHg3BEbnm&#10;58qDxRyog3xhGS8tEBPBVgDqk1ykhEkR0gdyjZ35WmTJfPZQeHfpaoW4Jc085gY51blbmdBp9Lj6&#10;uv6Sjv6bV1iFHM2bJNQ9ysQiBKgUgEB4LWN0wI5sebPFfEUB4d7AyirRi8OeelD26VMtSDkQ4owR&#10;7NynBcEiGb4wyKkWVwczz/IgjAc+/g+cCSwzKnddS/MoH8Kj0FfCOBGFG0kzOetION5UpQR5JENR&#10;JSE2xagHNMwPmL+VZDDpx6HvvBFSGm2bbXztpk8QJJSdPcmQPGAwNjauq6yXSZFOsF4ikDF8lLFe&#10;tWWoVhIpiEu0zuxOtPXS7owm0ifrxUNkoCIOrfWycjnVq9TlEvEoBta1+l5MLkEfvUokIxWwQNli&#10;TiUXRIna6Bzt7etyYSoUZNYuKxgd3/VMYRTMc4R8EnbHeHsrFxv9HhmF1eUS+DF08dJy0d/fM7lA&#10;JgFViiux7AjC7BCnPy8LweqOmIdMhHGrXshCFcDZm5SmqsnsyWa6C8R+vfoTBNJxnQnJtqQ4zNaO&#10;d+DFjTkHYFABDULVUvUrYJ5XsLwAYKQvuICJOWBgkI+VY84BmBABdNVPqGKpK15OwItLfg5UDxnC&#10;YiY5c4Fxmfu561rIR+V+AA8VoWXsq7anQCcoCKu0j0ec8XZnyXxYBQrtXRO4ufohEj4fnTrjaJBB&#10;yiC+fFcJxUMeIjHbCpVM4EkBxpGh0vYSVIrQebKn0/aexUioMqOGiHoGr4xYFbyiPeJM1jElRCMR&#10;poQvZAvSnYtE55l9E0lE2QQPtssidjYn6QjauYhwysLQxZTENgr6VBFB/x6NRmoY7i/n2jFOa16W&#10;Shg94iHaQGh94q6uLdKw7dckwvZhXEPHoAuL1nESwWD00GQUcOYHsOIGvS5YiEIRKF3cuoLFtkuf&#10;yXhogOV5ASH3FTqi4VZA6K5r+R4VELKQ8lDTFN7BN9INCEKXIVnt4huxGDSosg20k3DE0EHQ9Ae6&#10;xy6Cg5t9Z70AUIoCEQpu9caRPNxbTlsoIClf7WuG1VfhsnyjyH9/j5I3WfAr36g0yW1TXWuxe5fl&#10;G0WCiZgxtMf2W3A3xkHyZd6+rrTo8YFz2KoD1flxV5f/C7l8kEvDGI1FS4rZVTe0Y86BF7RufPBt&#10;mzHiFS86Yn6K5wh5dB0ixggSYUBsG28HXpgdcxa8+BEoAle8nMKLvQBeWBCpmEnX990FGDfoRYjx&#10;pov5+u/E2yPtKSn/XIHJT2QmhIs7m1oyQPuzpOmhvseMLbLUkgsyjF6rsUWsI2NfX5NyRJWps7Ns&#10;wKoUYHQcck92yFmwE1PlWRMKdX9Lt/hdeiq5jEDrNPmMCrmpO16xA2i0Y+QL2B50q1mEHS4oRh0q&#10;fVWDzoufkNpdbepQDT4gsMjW1pmr6XHV7wvAB+0FlE61/u+Hjxt0FvhY11WrhdjyNzkuYJsKIfiJ&#10;tziRV/RcFj0hGq4CyXBlfN5nWboZel8m08Jj3L7rYPN0WYjHEat24yFzi8pdFc4fBajo+cj9CRIc&#10;O/8M1/aAP8LD6Oc6RJlu8Jkbe9HCD/GHe53q4ysaw/4/t5S50uOhTnwcKz9WMrIdmbIT765rTBxV&#10;eJUhdj4AapB7qNBub21FQc8FlGlEURoYgQz8sIxkLAtbMRWUeyeiQJsdPEUydD15tOlBTy6Lt+jq&#10;oBP+K/Tk8SQqdC6+6gCDPNDUrOduImmsA1GJm5WJzrvA+vudJfN6sbcnihTSPmwMroyfFYudzpFt&#10;4JpYmB9j00FJJ7HOsGt2PDxvCbA+NYODWKAbzN2e+kowzH8FhSF/F0ct29O5xjDLXO6TZHwZi9AP&#10;dzAn/FfQGbTl4B9aVbPuJaOh0TNjxqEyQSzpFIUmQ56qRi/2MRxRIqgtF3YybiZ9Uhl4Z2Q9EUjH&#10;W5KxlP/T3QwoR1EUX9zN9HFTCcieMYuxjXS7TaCzjfpOUjfU6RJ1I8tX+xrkYKr4ZbiqsIclaIdp&#10;PgLUMhF6ouGYl9tb7e5WUz7eczDH1v5Rbrpno6OPzajvH0W87X/6REagnUgdd0RGMiyS+eLjauwV&#10;P9c4MafI5vrYk/LOp5BJyFqfvcyLprXgARLaLSZnbDl3R2oypSsSfSJKieoJTRUwKmg3hUGaRtLF&#10;dkrHEu6TjfVxhAF2ltBBDy3vZyhKBI8jJQPLgPwTN4RksNk3ok2vQL6rYqCEAc5Ll6LRgVHP4hIU&#10;JiWI8Y7Y6UL519AZxPLg3LYl07nS2KykT0oD1+ejFLed/lK91rk5Kvg9tyxRN2em9NdKs7q3ZxZl&#10;fRINNjVKbGLcYc+wr+NU0XDaoqLtGUcGzKMWiRXFCu3ZunM1NmPskWiQ+goclIXsve1pTt7NUVca&#10;2kGwtXe/c6Vxu917JBnwN1AzwvmIlWQsh6MdzbuRTpWOC+aDALGYbOfD12i+X9E8Dr2D7rla1l7A&#10;MOTw5dBTEcMlzOsVMaXK9DT/40Ekiepj04z9iHFDT0YMR06zVQy92pg+2RhBOWQYqKd9kht5Kl4Y&#10;EmCiEOLzLknFkVTXClN/KkyoEcZogbu4f6+BcSNPxgv6a3Ti6xUvpDCv7pGey7IAiwF7Ga1HsSyL&#10;6roW71EsC32atmFZKCg/ytsNEceRIWFQnsdwmA7OBzUDLMmCOm50rIGufEURSEDVgI/laeJUOudE&#10;V9Y3kYrYrzTGcnjc7Dvb3kabRKQwG/v2MuFqg/TC6rLgCduKdpK4a+uG/UXI5FrFj8aqPVHv7+5g&#10;olMq/IsZHYhtUNE7tjbkgtoKkLKVKNrmCqhv1ZizwgRHOIAW1OreXWHySxCzcUYjDKUiQ7jfnNgx&#10;54WJX7PCVWvoCpOnYOKc0CGiI44AEtgWLW1FrzpyyF7Xsj3KBVPDXx8sRC4UbUO06I2xrIRHThi0&#10;V+0/cd63L0vOvfXB9vwJuoM+c6B0Jo7qSACwxw+hRRXHl3fC2PMexzixK7QtUhvB1oyrG/T6arN3&#10;4aqlbyzb1QubCi/kAG3RPfSOTiZGNQyVFJB8LfV8F1LcoPMiBWfA0K/WaSrpFSnHWFhtbfHrljSS&#10;RvQLonQ+UP42K/oVVPXXepT7nVvv/gQAAP//AwBQSwMEFAAGAAgAAAAhANmLUNvdAAAABQEAAA8A&#10;AABkcnMvZG93bnJldi54bWxMj0FPwzAMhe9I/IfISNxYyijdKE0nhARC7ABslbhmjddWJE7VZGvh&#10;12O4wMXy07Oev1esJmfFEYfQeVJwOUtAINXedNQoqLYPF0sQIWoy2npCBZ8YYFWenhQ6N36kNzxu&#10;YiM4hEKuFbQx9rmUoW7R6TDzPRJ7ez84HVkOjTSDHjncWTlPkkw63RF/aHWP9y3WH5uDU5DO93b5&#10;+pitv56qanx+T7tF8tIpdX423d2CiDjFv2P4wWd0KJlp5w9kgrAKuEj8nezdXGUsdwquU15kWcj/&#10;9OU3AAAA//8DAFBLAQItABQABgAIAAAAIQC2gziS/gAAAOEBAAATAAAAAAAAAAAAAAAAAAAAAABb&#10;Q29udGVudF9UeXBlc10ueG1sUEsBAi0AFAAGAAgAAAAhADj9If/WAAAAlAEAAAsAAAAAAAAAAAAA&#10;AAAALwEAAF9yZWxzLy5yZWxzUEsBAi0AFAAGAAgAAAAhAIksrMggDQAAu2sAAA4AAAAAAAAAAAAA&#10;AAAALgIAAGRycy9lMm9Eb2MueG1sUEsBAi0AFAAGAAgAAAAhANmLUNvdAAAABQEAAA8AAAAAAAAA&#10;AAAAAAAAeg8AAGRycy9kb3ducmV2LnhtbFBLBQYAAAAABAAEAPMAAAC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671;visibility:visible;mso-wrap-style:square" filled="t">
                  <v:fill o:detectmouseclick="t"/>
                  <v:path o:connecttype="none"/>
                </v:shape>
                <v:group id="Group 110180868" o:spid="_x0000_s1028" style="position:absolute;left:9619;width:40356;height:34671" coordsize="40356,3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ubxgAAAOIAAAAPAAAAZHJzL2Rvd25yZXYueG1sRE9NS8NA&#10;EL0L/odlBG92dxVLiN2WUlQ8FMFWEG9DdpqEZmdDdk3Sf+8cBI+P973azKFTIw2pjezALgwo4ir6&#10;lmsHn8eXuwJUysgeu8jk4EIJNuvrqxWWPk78QeMh10pCOJXooMm5L7VOVUMB0yL2xMKd4hAwCxxq&#10;7QecJDx0+t6YpQ7YsjQ02NOuoep8+AkOXiectg/2edyfT7vL9/Hx/Wtvybnbm3n7BCrTnP/Ff+43&#10;L/OtsYUplrJZLgkGvf4FAAD//wMAUEsBAi0AFAAGAAgAAAAhANvh9svuAAAAhQEAABMAAAAAAAAA&#10;AAAAAAAAAAAAAFtDb250ZW50X1R5cGVzXS54bWxQSwECLQAUAAYACAAAACEAWvQsW78AAAAVAQAA&#10;CwAAAAAAAAAAAAAAAAAfAQAAX3JlbHMvLnJlbHNQSwECLQAUAAYACAAAACEACMMLm8YAAADiAAAA&#10;DwAAAAAAAAAAAAAAAAAHAgAAZHJzL2Rvd25yZXYueG1sUEsFBgAAAAADAAMAtwAAAPoCAAAAAA==&#10;">
                  <v:group id="Group 2050658859" o:spid="_x0000_s1029" style="position:absolute;left:5474;top:526;width:29333;height:34145" coordorigin="6858,659" coordsize="36747,4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7lpywAAAOMAAAAPAAAAZHJzL2Rvd25yZXYueG1sRI9Ba8JA&#10;FITvgv9heYXedDeWSJq6iogtPUihWhBvj+wzCWbfhuw2if++Wyj0OMzMN8xqM9pG9NT52rGGZK5A&#10;EBfO1Fxq+Dq9zjIQPiAbbByThjt52KynkxXmxg38Sf0xlCJC2OeooQqhzaX0RUUW/dy1xNG7us5i&#10;iLIrpelwiHDbyIVSS2mx5rhQYUu7iorb8dtqeBtw2D4l+/5wu+7ul1P6cT4kpPXjw7h9ARFoDP/h&#10;v/a70bBQqVqmWZY+w++n+Afk+gcAAP//AwBQSwECLQAUAAYACAAAACEA2+H2y+4AAACFAQAAEwAA&#10;AAAAAAAAAAAAAAAAAAAAW0NvbnRlbnRfVHlwZXNdLnhtbFBLAQItABQABgAIAAAAIQBa9CxbvwAA&#10;ABUBAAALAAAAAAAAAAAAAAAAAB8BAABfcmVscy8ucmVsc1BLAQItABQABgAIAAAAIQBTs7lpywAA&#10;AOMAAAAPAAAAAAAAAAAAAAAAAAcCAABkcnMvZG93bnJldi54bWxQSwUGAAAAAAMAAwC3AAAA/wIA&#10;AAAA&#10;">
                    <v:rect id="Rectangle 1139321405" o:spid="_x0000_s1030" style="position:absolute;left:6858;top:6858;width:9144;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8zxgAAAOMAAAAPAAAAZHJzL2Rvd25yZXYueG1sRE9Li8Iw&#10;EL4v+B/CCN7WtLoVrUaRgrKHvfi4eBuasa02k9pErf9+s7Dgcb73LFadqcWDWldZVhAPIxDEudUV&#10;FwqOh83nFITzyBpry6TgRQ5Wy97HAlNtn7yjx94XIoSwS1FB6X2TSunykgy6oW2IA3e2rUEfzraQ&#10;usVnCDe1HEXRRBqsODSU2FBWUn7d342CZEfbaYKX0+TG5qeTl1dWNZlSg363noPw1Pm3+N/9rcP8&#10;eDwbj+KvKIG/nwIAcvkLAAD//wMAUEsBAi0AFAAGAAgAAAAhANvh9svuAAAAhQEAABMAAAAAAAAA&#10;AAAAAAAAAAAAAFtDb250ZW50X1R5cGVzXS54bWxQSwECLQAUAAYACAAAACEAWvQsW78AAAAVAQAA&#10;CwAAAAAAAAAAAAAAAAAfAQAAX3JlbHMvLnJlbHNQSwECLQAUAAYACAAAACEAp3avM8YAAADjAAAA&#10;DwAAAAAAAAAAAAAAAAAHAgAAZHJzL2Rvd25yZXYueG1sUEsFBgAAAAADAAMAtwAAAPoCAAAAAA==&#10;" fillcolor="#dbdbdb" strokecolor="windowText" strokeweight="1pt"/>
                    <v:rect id="Rectangle 1784269896" o:spid="_x0000_s1031" style="position:absolute;left:34461;top:659;width:9144;height:4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UywAAAOMAAAAPAAAAZHJzL2Rvd25yZXYueG1sRE9fT8Iw&#10;EH838Ts0Z+KLkQ7QMSaFoAmRoC9DIz5e1nOdrNdlLTC+vTUx8fF+/2+26G0jjtT52rGC4SABQVw6&#10;XXOl4P1tdZuB8AFZY+OYFJzJw2J+eTHDXLsTF3TchkrEEPY5KjAhtLmUvjRk0Q9cSxy5L9dZDPHs&#10;Kqk7PMVw28hRkqTSYs2xwWBLT4bK/fZgFSRFO/5cv0zq4evmfve8+3j8vjkYpa6v+uUDiEB9+Bf/&#10;udc6zp9kd6N0mk1T+P0pAiDnPwAAAP//AwBQSwECLQAUAAYACAAAACEA2+H2y+4AAACFAQAAEwAA&#10;AAAAAAAAAAAAAAAAAAAAW0NvbnRlbnRfVHlwZXNdLnhtbFBLAQItABQABgAIAAAAIQBa9CxbvwAA&#10;ABUBAAALAAAAAAAAAAAAAAAAAB8BAABfcmVscy8ucmVsc1BLAQItABQABgAIAAAAIQD+gxYUywAA&#10;AOMAAAAPAAAAAAAAAAAAAAAAAAcCAABkcnMvZG93bnJldi54bWxQSwUGAAAAAAMAAwC3AAAA/wIA&#10;AAAA&#10;" fillcolor="#b4c7e7" strokecolor="windowText" strokeweight="1pt"/>
                  </v:group>
                  <v:group id="Group 964961326" o:spid="_x0000_s1032" style="position:absolute;left:5619;width:17029;height:34671" coordorigin="7040" coordsize="21332,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9eygAAAOIAAAAPAAAAZHJzL2Rvd25yZXYueG1sRI9Ba8JA&#10;FITvBf/D8oTe6iZaQ42uItIWDyJUBfH2yD6TYPZtyG6T+O9dodDjMDPfMItVbyrRUuNKywriUQSC&#10;OLO65FzB6fj19gHCeWSNlWVScCcHq+XgZYGpth3/UHvwuQgQdikqKLyvUyldVpBBN7I1cfCutjHo&#10;g2xyqRvsAtxUchxFiTRYclgosKZNQdnt8GsUfHfYrSfxZ7u7XTf3y3G6P+9iUup12K/nIDz1/j/8&#10;195qBbPkfZbEk3ECz0vhDsjlAwAA//8DAFBLAQItABQABgAIAAAAIQDb4fbL7gAAAIUBAAATAAAA&#10;AAAAAAAAAAAAAAAAAABbQ29udGVudF9UeXBlc10ueG1sUEsBAi0AFAAGAAgAAAAhAFr0LFu/AAAA&#10;FQEAAAsAAAAAAAAAAAAAAAAAHwEAAF9yZWxzLy5yZWxzUEsBAi0AFAAGAAgAAAAhAE+pn17KAAAA&#10;4gAAAA8AAAAAAAAAAAAAAAAABwIAAGRycy9kb3ducmV2LnhtbFBLBQYAAAAAAwADALcAAAD+AgAA&#10;AAA=&#10;">
                    <v:shapetype id="_x0000_t202" coordsize="21600,21600" o:spt="202" path="m,l,21600r21600,l21600,xe">
                      <v:stroke joinstyle="miter"/>
                      <v:path gradientshapeok="t" o:connecttype="rect"/>
                    </v:shapetype>
                    <v:shape id="TextBox 28" o:spid="_x0000_s1033" type="#_x0000_t202" style="position:absolute;left:7040;top:1296;width:9140;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eFyAAAAOIAAAAPAAAAZHJzL2Rvd25yZXYueG1sRI/NTsMw&#10;EITvSLyDtUjcqB1ES0nrVhU/Ug9cWsJ9FW/jiHgdxUuTvj1GQuI4mplvNOvtFDp1piG1kS0UMwOK&#10;uI6u5cZC9fF2twSVBNlhF5ksXCjBdnN9tcbSxZEPdD5KozKEU4kWvEhfap1qTwHTLPbE2TvFIaBk&#10;OTTaDThmeOj0vTELHbDlvOCxp2dP9dfxO1gQcbviUr2GtP+c3l9Gb+o5Vtbe3ky7FSihSf7Df+29&#10;s/BkHpaPZlHM4fdSvgN68wMAAP//AwBQSwECLQAUAAYACAAAACEA2+H2y+4AAACFAQAAEwAAAAAA&#10;AAAAAAAAAAAAAAAAW0NvbnRlbnRfVHlwZXNdLnhtbFBLAQItABQABgAIAAAAIQBa9CxbvwAAABUB&#10;AAALAAAAAAAAAAAAAAAAAB8BAABfcmVscy8ucmVsc1BLAQItABQABgAIAAAAIQBx8aeFyAAAAOIA&#10;AAAPAAAAAAAAAAAAAAAAAAcCAABkcnMvZG93bnJldi54bWxQSwUGAAAAAAMAAwC3AAAA/AIAAAAA&#10;" filled="f" stroked="f">
                      <v:textbox style="mso-fit-shape-to-text:t">
                        <w:txbxContent>
                          <w:p w14:paraId="53287FA6" w14:textId="77777777" w:rsidR="000B47C0" w:rsidRPr="007C52F0" w:rsidRDefault="000B47C0" w:rsidP="000B47C0">
                            <w:pPr>
                              <w:jc w:val="cente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BAA A</w:t>
                            </w:r>
                          </w:p>
                        </w:txbxContent>
                      </v:textbox>
                    </v:shape>
                    <v:shape id="TextBox 29" o:spid="_x0000_s1034" type="#_x0000_t202" style="position:absolute;left:19232;top:1296;width:9140;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TUxgAAAOMAAAAPAAAAZHJzL2Rvd25yZXYueG1sRE9LS8NA&#10;EL4L/odlBG92EyWxpt2W4gN68NIa70N2mg1mZ0N2bNJ/7wqCx/nes97OvldnGmMX2EC+yEARN8F2&#10;3BqoP97ulqCiIFvsA5OBC0XYbq6v1ljZMPGBzkdpVQrhWKEBJzJUWsfGkce4CANx4k5h9CjpHFtt&#10;R5xSuO/1fZaV2mPHqcHhQM+Omq/jtzcgYnf5pX71cf85v79MLmsKrI25vZl3K1BCs/yL/9x7m+Y/&#10;PC3zoiyLR/j9KQGgNz8AAAD//wMAUEsBAi0AFAAGAAgAAAAhANvh9svuAAAAhQEAABMAAAAAAAAA&#10;AAAAAAAAAAAAAFtDb250ZW50X1R5cGVzXS54bWxQSwECLQAUAAYACAAAACEAWvQsW78AAAAVAQAA&#10;CwAAAAAAAAAAAAAAAAAfAQAAX3JlbHMvLnJlbHNQSwECLQAUAAYACAAAACEAOoP01MYAAADjAAAA&#10;DwAAAAAAAAAAAAAAAAAHAgAAZHJzL2Rvd25yZXYueG1sUEsFBgAAAAADAAMAtwAAAPoCAAAAAA==&#10;" filled="f" stroked="f">
                      <v:textbox style="mso-fit-shape-to-text:t">
                        <w:txbxContent>
                          <w:p w14:paraId="53B5E4EF" w14:textId="77777777" w:rsidR="000B47C0" w:rsidRPr="007C52F0" w:rsidRDefault="000B47C0" w:rsidP="000B47C0">
                            <w:pPr>
                              <w:jc w:val="cente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BAA B</w:t>
                            </w:r>
                          </w:p>
                        </w:txbxContent>
                      </v:textbox>
                    </v:shape>
                    <v:line id="Straight Connector 1669644603" o:spid="_x0000_s1035" style="position:absolute;visibility:visible;mso-wrap-style:square" from="17526,0" to="17526,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RzyQAAAOMAAAAPAAAAZHJzL2Rvd25yZXYueG1sRE9fS8Mw&#10;EH8X/A7hBF9kS91q0LpsDFF0ghubgq9HczbF5lKS2NVvbwTBx/v9v8VqdJ0YKMTWs4bLaQGCuPam&#10;5UbD2+vD5BpETMgGO8+k4ZsirJanJwusjD/ynoZDakQO4VihBptSX0kZa0sO49T3xJn78MFhymdo&#10;pAl4zOGuk7OiUNJhy7nBYk93lurPw5fTsJmvd9tYXr3M7kP7PAzvW7t7vND6/Gxc34JINKZ/8Z/7&#10;yeT5St2oslTFHH5/ygDI5Q8AAAD//wMAUEsBAi0AFAAGAAgAAAAhANvh9svuAAAAhQEAABMAAAAA&#10;AAAAAAAAAAAAAAAAAFtDb250ZW50X1R5cGVzXS54bWxQSwECLQAUAAYACAAAACEAWvQsW78AAAAV&#10;AQAACwAAAAAAAAAAAAAAAAAfAQAAX3JlbHMvLnJlbHNQSwECLQAUAAYACAAAACEA3X60c8kAAADj&#10;AAAADwAAAAAAAAAAAAAAAAAHAgAAZHJzL2Rvd25yZXYueG1sUEsFBgAAAAADAAMAtwAAAP0CAAAA&#10;AA==&#10;" strokecolor="red" strokeweight="1pt">
                      <v:stroke dashstyle="dashDot" joinstyle="miter"/>
                      <o:lock v:ext="edit" shapetype="f"/>
                    </v:line>
                  </v:group>
                  <v:group id="Group 1230123315" o:spid="_x0000_s1036" style="position:absolute;left:27508;top:823;width:12848;height:27654" coordorigin="34461,1031" coordsize="16095,3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HMygAAAOMAAAAPAAAAZHJzL2Rvd25yZXYueG1sRE/BisIw&#10;EL0v+A9hBG9rWovLUo0i4ooHEVYXxNvQjG2xmZQm29a/N4Lg4R1m3rz35s2XvalES40rLSuIxxEI&#10;4szqknMFf6efz28QziNrrCyTgjs5WC4GH3NMte34l9qjz0UwYZeigsL7OpXSZQUZdGNbEwfuahuD&#10;PoxNLnWDXTA3lZxE0Zc0WHJIKLCmdUHZ7fhvFGw77FZJvGn3t+v6fjlND+d9TEqNhv1qBsJT79/H&#10;L/VOh/cnSRSQxFN4dgoLkIsHAAAA//8DAFBLAQItABQABgAIAAAAIQDb4fbL7gAAAIUBAAATAAAA&#10;AAAAAAAAAAAAAAAAAABbQ29udGVudF9UeXBlc10ueG1sUEsBAi0AFAAGAAgAAAAhAFr0LFu/AAAA&#10;FQEAAAsAAAAAAAAAAAAAAAAAHwEAAF9yZWxzLy5yZWxzUEsBAi0AFAAGAAgAAAAhABVyoczKAAAA&#10;4wAAAA8AAAAAAAAAAAAAAAAABwIAAGRycy9kb3ducmV2LnhtbFBLBQYAAAAAAwADALcAAAD+AgAA&#10;AAA=&#10;">
                    <v:shape id="TextBox 18" o:spid="_x0000_s1037" type="#_x0000_t202" style="position:absolute;left:43699;top:1031;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gxwAAAOEAAAAPAAAAZHJzL2Rvd25yZXYueG1sRI9BS8NA&#10;FITvQv/D8gRvdpNIg6TdllIVevBiG++P7Gs2mH0bss8m/feuIHgcZuYbZrObfa+uNMYusIF8mYEi&#10;boLtuDVQn98en0FFQbbYByYDN4qw2y7uNljZMPEHXU/SqgThWKEBJzJUWsfGkce4DANx8i5h9ChJ&#10;jq22I04J7ntdZFmpPXacFhwOdHDUfJ2+vQERu89v9auPx8/5/WVyWbPC2piH+3m/BiU0y3/4r320&#10;BsriKS+KVQm/j9Ib0NsfAAAA//8DAFBLAQItABQABgAIAAAAIQDb4fbL7gAAAIUBAAATAAAAAAAA&#10;AAAAAAAAAAAAAABbQ29udGVudF9UeXBlc10ueG1sUEsBAi0AFAAGAAgAAAAhAFr0LFu/AAAAFQEA&#10;AAsAAAAAAAAAAAAAAAAAHwEAAF9yZWxzLy5yZWxzUEsBAi0AFAAGAAgAAAAhAPkH4yDHAAAA4QAA&#10;AA8AAAAAAAAAAAAAAAAABwIAAGRycy9kb3ducmV2LnhtbFBLBQYAAAAAAwADALcAAAD7AgAAAAA=&#10;" filled="f" stroked="f">
                      <v:textbox style="mso-fit-shape-to-text:t">
                        <w:txbxContent>
                          <w:p w14:paraId="041C98A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SC4</w:t>
                            </w:r>
                          </w:p>
                        </w:txbxContent>
                      </v:textbox>
                    </v:shape>
                    <v:shape id="TextBox 19" o:spid="_x0000_s1038" type="#_x0000_t202" style="position:absolute;left:43699;top:7279;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nxgAAAOMAAAAPAAAAZHJzL2Rvd25yZXYueG1sRE9LT8JA&#10;EL6b+B82Q+JNtiBFrCyE+Eg4cAHrfdIduw3d2aY70vLvXRMTj/O9Z70dfasu1McmsIHZNANFXAXb&#10;cG2g/Hi/X4GKgmyxDUwGrhRhu7m9WWNhw8BHupykVimEY4EGnEhXaB0rRx7jNHTEifsKvUdJZ19r&#10;2+OQwn2r51m21B4bTg0OO3pxVJ1P396AiN3NruWbj/vP8fA6uKzKsTTmbjLunkEJjfIv/nPvbZo/&#10;zx8Xq8VT/gC/PyUA9OYHAAD//wMAUEsBAi0AFAAGAAgAAAAhANvh9svuAAAAhQEAABMAAAAAAAAA&#10;AAAAAAAAAAAAAFtDb250ZW50X1R5cGVzXS54bWxQSwECLQAUAAYACAAAACEAWvQsW78AAAAVAQAA&#10;CwAAAAAAAAAAAAAAAAAfAQAAX3JlbHMvLnJlbHNQSwECLQAUAAYACAAAACEAvpzVp8YAAADjAAAA&#10;DwAAAAAAAAAAAAAAAAAHAgAAZHJzL2Rvd25yZXYueG1sUEsFBgAAAAADAAMAtwAAAPoCAAAAAA==&#10;" filled="f" stroked="f">
                      <v:textbox style="mso-fit-shape-to-text:t">
                        <w:txbxContent>
                          <w:p w14:paraId="5819848D"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SC5</w:t>
                            </w:r>
                          </w:p>
                        </w:txbxContent>
                      </v:textbox>
                    </v:shape>
                    <v:shape id="TextBox 20" o:spid="_x0000_s1039" type="#_x0000_t202" style="position:absolute;left:43699;top:18543;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cQ3yQAAAOMAAAAPAAAAZHJzL2Rvd25yZXYueG1sRI9Bb8Iw&#10;DIXvk/YfIk/abaQdAqpCQGgwicMuY93dakxTrUmqxqPl3+PDpB3t9/ze581u8p260pDaGAzkswwU&#10;hTraNjQGqq/3lwJUYgwWuxjIwI0S7LaPDxssbRzDJ13P3CgJCalEA465L7VOtSOPaRZ7CqJd4uCR&#10;ZRwabQccJdx3+jXLltpjG6TBYU9vjuqf8683wGz3+a06+nT6nj4Oo8vqBVbGPD9N+zUopon/zX/X&#10;Jyv4q+WqmOfzQqDlJ1mA3t4BAAD//wMAUEsBAi0AFAAGAAgAAAAhANvh9svuAAAAhQEAABMAAAAA&#10;AAAAAAAAAAAAAAAAAFtDb250ZW50X1R5cGVzXS54bWxQSwECLQAUAAYACAAAACEAWvQsW78AAAAV&#10;AQAACwAAAAAAAAAAAAAAAAAfAQAAX3JlbHMvLnJlbHNQSwECLQAUAAYACAAAACEAhCnEN8kAAADj&#10;AAAADwAAAAAAAAAAAAAAAAAHAgAAZHJzL2Rvd25yZXYueG1sUEsFBgAAAAADAAMAtwAAAP0CAAAA&#10;AA==&#10;" filled="f" stroked="f">
                      <v:textbox style="mso-fit-shape-to-text:t">
                        <w:txbxContent>
                          <w:p w14:paraId="65FF0A6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SC6</w:t>
                            </w:r>
                          </w:p>
                        </w:txbxContent>
                      </v:textbox>
                    </v:shape>
                    <v:shape id="TextBox 21" o:spid="_x0000_s1040" type="#_x0000_t202" style="position:absolute;left:43699;top:30949;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HzyAAAAOIAAAAPAAAAZHJzL2Rvd25yZXYueG1sRI9BS8NA&#10;FITvQv/D8gre7CaltiF2W0pV6MGLbbw/ss9sMPs2ZJ9N+u9dQfA4zMw3zHY/+U5daYhtYAP5IgNF&#10;XAfbcmOgurw+FKCiIFvsApOBG0XY72Z3WyxtGPmdrmdpVIJwLNGAE+lLrWPtyGNchJ44eZ9h8ChJ&#10;Do22A44J7ju9zLK19thyWnDY09FR/XX+9gZE7CG/VS8+nj6mt+fRZfUjVsbcz6fDEyihSf7Df+2T&#10;NVAUq81mnecr+L2U7oDe/QAAAP//AwBQSwECLQAUAAYACAAAACEA2+H2y+4AAACFAQAAEwAAAAAA&#10;AAAAAAAAAAAAAAAAW0NvbnRlbnRfVHlwZXNdLnhtbFBLAQItABQABgAIAAAAIQBa9CxbvwAAABUB&#10;AAALAAAAAAAAAAAAAAAAAB8BAABfcmVscy8ucmVsc1BLAQItABQABgAIAAAAIQA61nHzyAAAAOIA&#10;AAAPAAAAAAAAAAAAAAAAAAcCAABkcnMvZG93bnJldi54bWxQSwUGAAAAAAMAAwC3AAAA/AIAAAAA&#10;" filled="f" stroked="f">
                      <v:textbox style="mso-fit-shape-to-text:t">
                        <w:txbxContent>
                          <w:p w14:paraId="043F3B4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SC7</w:t>
                            </w:r>
                          </w:p>
                        </w:txbxContent>
                      </v:textbox>
                    </v:shape>
                    <v:line id="Straight Connector 76132010" o:spid="_x0000_s1041" style="position:absolute;visibility:visible;mso-wrap-style:square" from="34461,25145" to="50292,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OHHxwAAAOEAAAAPAAAAZHJzL2Rvd25yZXYueG1sRI/LasMw&#10;EEX3hfyDmEB2jewE0tSNEkJpIJsu6jzWgzW13VgjISm28/fVotDl5b44m91oOtGTD61lBfk8A0Fc&#10;Wd1yreB8OjyvQYSIrLGzTAoeFGC3nTxtsNB24C/qy1iLNMKhQAVNjK6QMlQNGQxz64iT9229wZik&#10;r6X2OKRx08lFlq2kwZbTQ4OO3huqbuXdKChZfr7mrl5fPfVDGN3pcv34UWo2HfdvICKN8T/81z5q&#10;BS+rfLnI8sSQiBINyO0vAAAA//8DAFBLAQItABQABgAIAAAAIQDb4fbL7gAAAIUBAAATAAAAAAAA&#10;AAAAAAAAAAAAAABbQ29udGVudF9UeXBlc10ueG1sUEsBAi0AFAAGAAgAAAAhAFr0LFu/AAAAFQEA&#10;AAsAAAAAAAAAAAAAAAAAHwEAAF9yZWxzLy5yZWxzUEsBAi0AFAAGAAgAAAAhADcs4cfHAAAA4QAA&#10;AA8AAAAAAAAAAAAAAAAABwIAAGRycy9kb3ducmV2LnhtbFBLBQYAAAAAAwADALcAAAD7AgAAAAA=&#10;" strokecolor="windowText" strokeweight="1pt">
                      <v:stroke joinstyle="miter"/>
                      <o:lock v:ext="edit" shapetype="f"/>
                    </v:line>
                    <v:line id="Straight Connector 220650849" o:spid="_x0000_s1042" style="position:absolute;visibility:visible;mso-wrap-style:square" from="34461,14435" to="50292,14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DtyAAAAOIAAAAPAAAAZHJzL2Rvd25yZXYueG1sRI9BSwMx&#10;FITvQv9DeAVvNumiZbs2LaUoePHgVnt+bJ67q5uXkMTd9d8bQfA4zMw3zO4w20GMFGLvWMN6pUAQ&#10;N8703Gp4PT/elCBiQjY4OCYN3xThsF9c7bAybuIXGuvUigzhWKGGLiVfSRmbjizGlfPE2Xt3wWLK&#10;MrTSBJwy3A6yUGojLfacFzr0dOqo+ay/rIaa5fN27dvyEmic4uzPb5eHD62vl/PxHkSiOf2H/9pP&#10;RkNRqM2dKm+38Hsp3wG5/wEAAP//AwBQSwECLQAUAAYACAAAACEA2+H2y+4AAACFAQAAEwAAAAAA&#10;AAAAAAAAAAAAAAAAW0NvbnRlbnRfVHlwZXNdLnhtbFBLAQItABQABgAIAAAAIQBa9CxbvwAAABUB&#10;AAALAAAAAAAAAAAAAAAAAB8BAABfcmVscy8ucmVsc1BLAQItABQABgAIAAAAIQAyDODtyAAAAOIA&#10;AAAPAAAAAAAAAAAAAAAAAAcCAABkcnMvZG93bnJldi54bWxQSwUGAAAAAAMAAwC3AAAA/AIAAAAA&#10;" strokecolor="windowText" strokeweight="1pt">
                      <v:stroke joinstyle="miter"/>
                      <o:lock v:ext="edit" shapetype="f"/>
                    </v:line>
                    <v:line id="Straight Connector 260424320" o:spid="_x0000_s1043" style="position:absolute;visibility:visible;mso-wrap-style:square" from="34461,5231" to="50292,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XVxwAAAOIAAAAPAAAAZHJzL2Rvd25yZXYueG1sRI9Pa8Iw&#10;GMbvwr5DeAfeNLWKuGqUMSZ48bDqPL80r2235k1Isrb79stB2PHh+cdvdxhNJ3ryobWsYDHPQBBX&#10;VrdcK7hejrMNiBCRNXaWScEvBTjsnyY7LLQd+IP6MtYijXAoUEEToyukDFVDBsPcOuLk3a03GJP0&#10;tdQehzRuOpln2VoabDk9NOjoraHqu/wxCkqW55eFqzc3T/0QRnf5vL1/KTV9Hl+3ICKN8T/8aJ+0&#10;gnydrfLVMk8QCSnhgNz/AQAA//8DAFBLAQItABQABgAIAAAAIQDb4fbL7gAAAIUBAAATAAAAAAAA&#10;AAAAAAAAAAAAAABbQ29udGVudF9UeXBlc10ueG1sUEsBAi0AFAAGAAgAAAAhAFr0LFu/AAAAFQEA&#10;AAsAAAAAAAAAAAAAAAAAHwEAAF9yZWxzLy5yZWxzUEsBAi0AFAAGAAgAAAAhAKDSRdXHAAAA4gAA&#10;AA8AAAAAAAAAAAAAAAAABwIAAGRycy9kb3ducmV2LnhtbFBLBQYAAAAAAwADALcAAAD7AgAAAAA=&#10;" strokecolor="windowText" strokeweight="1pt">
                      <v:stroke joinstyle="miter"/>
                      <o:lock v:ext="edit" shapetype="f"/>
                    </v:line>
                  </v:group>
                  <v:group id="Group 1748162153" o:spid="_x0000_s1044" style="position:absolute;top:6690;width:12773;height:22722" coordorigin=",8382" coordsize="16001,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2QZyQAAAOMAAAAPAAAAZHJzL2Rvd25yZXYueG1sRE9La8JA&#10;EL4X+h+WKXirm/WRSuoqIm3pQQS1UHobsmMSzM6G7JrEf+8WCj3O957lerC16Kj1lWMNapyAIM6d&#10;qbjQ8HV6f16A8AHZYO2YNNzIw3r1+LDEzLieD9QdQyFiCPsMNZQhNJmUPi/Joh+7hjhyZ9daDPFs&#10;C2la7GO4reUkSVJpseLYUGJD25Lyy/FqNXz02G+m6q3bXc7b289pvv/eKdJ69DRsXkEEGsK/+M/9&#10;aeL8l9lCpRM1n8LvTxEAuboDAAD//wMAUEsBAi0AFAAGAAgAAAAhANvh9svuAAAAhQEAABMAAAAA&#10;AAAAAAAAAAAAAAAAAFtDb250ZW50X1R5cGVzXS54bWxQSwECLQAUAAYACAAAACEAWvQsW78AAAAV&#10;AQAACwAAAAAAAAAAAAAAAAAfAQAAX3JlbHMvLnJlbHNQSwECLQAUAAYACAAAACEA+RtkGckAAADj&#10;AAAADwAAAAAAAAAAAAAAAAAHAgAAZHJzL2Rvd25yZXYueG1sUEsFBgAAAAADAAMAtwAAAP0CAAAA&#10;AA==&#10;">
                    <v:shape id="TextBox 15" o:spid="_x0000_s1045" type="#_x0000_t202" style="position:absolute;top:8382;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MfxgAAAOMAAAAPAAAAZHJzL2Rvd25yZXYueG1sRE9LT8Mw&#10;DL4j8R8iI3FjSQcbqFs2TTykHbhslLvVeE1F41SNWbt/T5CQOPp7e72dQqfONKQ2soViZkAR19G1&#10;3FioPt7unkAlQXbYRSYLF0qw3VxfrbF0ceQDnY/SqBzCqUQLXqQvtU61p4BpFnvizJ3iEFDyOTTa&#10;DTjm8NDpuTFLHbDl3OCxp2dP9dfxO1gQcbviUr2GtP+c3l9Gb+oFVtbe3ky7FSihSf7Ff+69y/Mf&#10;zXK+MPfFA/z+lAHQmx8AAAD//wMAUEsBAi0AFAAGAAgAAAAhANvh9svuAAAAhQEAABMAAAAAAAAA&#10;AAAAAAAAAAAAAFtDb250ZW50X1R5cGVzXS54bWxQSwECLQAUAAYACAAAACEAWvQsW78AAAAVAQAA&#10;CwAAAAAAAAAAAAAAAAAfAQAAX3JlbHMvLnJlbHNQSwECLQAUAAYACAAAACEASr6TH8YAAADjAAAA&#10;DwAAAAAAAAAAAAAAAAAHAgAAZHJzL2Rvd25yZXYueG1sUEsFBgAAAAADAAMAtwAAAPoCAAAAAA==&#10;" filled="f" stroked="f">
                      <v:textbox style="mso-fit-shape-to-text:t">
                        <w:txbxContent>
                          <w:p w14:paraId="08D20A8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SC1</w:t>
                            </w:r>
                          </w:p>
                        </w:txbxContent>
                      </v:textbox>
                    </v:shape>
                    <v:shape id="TextBox 16" o:spid="_x0000_s1046" type="#_x0000_t202" style="position:absolute;top:18404;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9qtyAAAAOMAAAAPAAAAZHJzL2Rvd25yZXYueG1sRI9PS8Qw&#10;FMTvgt8hPMGbm6ZFWetml8U/sAcvrvX+aJ5NsXkpzXPb/fZGEDwOM/MbZrNbwqBONKU+sgWzKkAR&#10;t9H13Flo3l9u1qCSIDscIpOFMyXYbS8vNli7OPMbnY7SqQzhVKMFLzLWWqfWU8C0iiNx9j7jFFCy&#10;nDrtJpwzPAy6LIo7HbDnvOBxpEdP7dfxO1gQcXtzbp5DOnwsr0+zL9pbbKy9vlr2D6CEFvkP/7UP&#10;zkJpqvu1qSpTwu+n/Af09gcAAP//AwBQSwECLQAUAAYACAAAACEA2+H2y+4AAACFAQAAEwAAAAAA&#10;AAAAAAAAAAAAAAAAW0NvbnRlbnRfVHlwZXNdLnhtbFBLAQItABQABgAIAAAAIQBa9CxbvwAAABUB&#10;AAALAAAAAAAAAAAAAAAAAB8BAABfcmVscy8ucmVsc1BLAQItABQABgAIAAAAIQD639qtyAAAAOMA&#10;AAAPAAAAAAAAAAAAAAAAAAcCAABkcnMvZG93bnJldi54bWxQSwUGAAAAAAMAAwC3AAAA/AIAAAAA&#10;" filled="f" stroked="f">
                      <v:textbox style="mso-fit-shape-to-text:t">
                        <w:txbxContent>
                          <w:p w14:paraId="7CEAC0E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SC2</w:t>
                            </w:r>
                          </w:p>
                        </w:txbxContent>
                      </v:textbox>
                    </v:shape>
                    <v:shape id="TextBox 17" o:spid="_x0000_s1047" type="#_x0000_t202" style="position:absolute;top:32120;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LIyAAAAOIAAAAPAAAAZHJzL2Rvd25yZXYueG1sRI9PS8NA&#10;FMTvgt9heYI3u0nERGK3pfgHevBijfdH9jUbmn0bss8m/fauIHgcZuY3zHq7+EGdaYp9YAP5KgNF&#10;3Abbc2eg+Xy7ewQVBdniEJgMXCjCdnN9tcbahpk/6HyQTiUIxxoNOJGx1jq2jjzGVRiJk3cMk0dJ&#10;cuq0nXBOcD/oIstK7bHntOBwpGdH7enw7Q2I2F1+aV593H8t7y+zy9oHbIy5vVl2T6CEFvkP/7X3&#10;1kBRVVWZF/cl/F5Kd0BvfgAAAP//AwBQSwECLQAUAAYACAAAACEA2+H2y+4AAACFAQAAEwAAAAAA&#10;AAAAAAAAAAAAAAAAW0NvbnRlbnRfVHlwZXNdLnhtbFBLAQItABQABgAIAAAAIQBa9CxbvwAAABUB&#10;AAALAAAAAAAAAAAAAAAAAB8BAABfcmVscy8ucmVsc1BLAQItABQABgAIAAAAIQAsrRLIyAAAAOIA&#10;AAAPAAAAAAAAAAAAAAAAAAcCAABkcnMvZG93bnJldi54bWxQSwUGAAAAAAMAAwC3AAAA/AIAAAAA&#10;" filled="f" stroked="f">
                      <v:textbox style="mso-fit-shape-to-text:t">
                        <w:txbxContent>
                          <w:p w14:paraId="54F7FC7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rPr>
                              <w:t>SC3</w:t>
                            </w:r>
                          </w:p>
                        </w:txbxContent>
                      </v:textbox>
                    </v:shape>
                    <v:line id="Straight Connector 158078416" o:spid="_x0000_s1048" style="position:absolute;visibility:visible;mso-wrap-style:square" from="0,25332" to="16001,2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W1xQAAAOIAAAAPAAAAZHJzL2Rvd25yZXYueG1sRE/PS8Mw&#10;FL4L/g/hCbu5tKKz65YNEQe7eLBzOz+at7bavIQktt1/bwRhx4/v93o7mV4M5ENnWUE+z0AQ11Z3&#10;3Cj4POzuCxAhImvsLZOCCwXYbm5v1lhqO/IHDVVsRArhUKKCNkZXShnqlgyGuXXEiTtbbzAm6Bup&#10;PY4p3PTyIcsW0mDHqaFFR68t1d/Vj1FQsXxf5q4pTp6GMUzucDy9fSk1u5teViAiTfEq/nfvdZr/&#10;VGTPxWO+gL9LCYPc/AIAAP//AwBQSwECLQAUAAYACAAAACEA2+H2y+4AAACFAQAAEwAAAAAAAAAA&#10;AAAAAAAAAAAAW0NvbnRlbnRfVHlwZXNdLnhtbFBLAQItABQABgAIAAAAIQBa9CxbvwAAABUBAAAL&#10;AAAAAAAAAAAAAAAAAB8BAABfcmVscy8ucmVsc1BLAQItABQABgAIAAAAIQAch3W1xQAAAOIAAAAP&#10;AAAAAAAAAAAAAAAAAAcCAABkcnMvZG93bnJldi54bWxQSwUGAAAAAAMAAwC3AAAA+QIAAAAA&#10;" strokecolor="windowText" strokeweight="1pt">
                      <v:stroke joinstyle="miter"/>
                      <o:lock v:ext="edit" shapetype="f"/>
                    </v:line>
                    <v:line id="Straight Connector 1046649489" o:spid="_x0000_s1049" style="position:absolute;visibility:visible;mso-wrap-style:square" from="0,14403" to="16001,1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sxgAAAOMAAAAPAAAAZHJzL2Rvd25yZXYueG1sRE9PS8Mw&#10;FL8L+w7hDby5dFJKW5cNGRO8eLCbOz+aZ1ttXkIS2/rtjSB4fL//b3dYzCgm8mGwrGC7yUAQt1YP&#10;3Cm4nJ/uShAhImscLZOCbwpw2K9udlhrO/MrTU3sRArhUKOCPkZXSxnangyGjXXEiXu33mBMp++k&#10;9jincDPK+ywrpMGBU0OPjo49tZ/Nl1HQsHyptq4rr56mOSzu/HY9fSh1u14eH0BEWuK/+M/9rNP8&#10;LC+KvMrLCn5/SgDI/Q8AAAD//wMAUEsBAi0AFAAGAAgAAAAhANvh9svuAAAAhQEAABMAAAAAAAAA&#10;AAAAAAAAAAAAAFtDb250ZW50X1R5cGVzXS54bWxQSwECLQAUAAYACAAAACEAWvQsW78AAAAVAQAA&#10;CwAAAAAAAAAAAAAAAAAfAQAAX3JlbHMvLnJlbHNQSwECLQAUAAYACAAAACEATf/WbMYAAADjAAAA&#10;DwAAAAAAAAAAAAAAAAAHAgAAZHJzL2Rvd25yZXYueG1sUEsFBgAAAAADAAMAtwAAAPoCAAAAAA==&#10;" strokecolor="windowText" strokeweight="1pt">
                      <v:stroke joinstyle="miter"/>
                      <o:lock v:ext="edit" shapetype="f"/>
                    </v:line>
                  </v:group>
                  <v:group id="Group 1208048553" o:spid="_x0000_s1050" style="position:absolute;left:15206;top:526;width:12302;height:34145" coordorigin="19050,659" coordsize="15411,4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iOlyAAAAOMAAAAPAAAAZHJzL2Rvd25yZXYueG1sRE9fa8Iw&#10;EH8f7DuEG+xtJtV1lGoUESc+yGA6GL4dzdkWm0tpYlu//TIY7PF+/2+xGm0jeup87VhDMlEgiAtn&#10;ai41fJ3eXzIQPiAbbByThjt5WC0fHxaYGzfwJ/XHUIoYwj5HDVUIbS6lLyqy6CeuJY7cxXUWQzy7&#10;UpoOhxhuGzlV6k1arDk2VNjSpqLierxZDbsBh/Us2faH62VzP5/Sj+9DQlo/P43rOYhAY/gX/7n3&#10;Js6fqky9Zmk6g9+fIgBy+QMAAP//AwBQSwECLQAUAAYACAAAACEA2+H2y+4AAACFAQAAEwAAAAAA&#10;AAAAAAAAAAAAAAAAW0NvbnRlbnRfVHlwZXNdLnhtbFBLAQItABQABgAIAAAAIQBa9CxbvwAAABUB&#10;AAALAAAAAAAAAAAAAAAAAB8BAABfcmVscy8ucmVsc1BLAQItABQABgAIAAAAIQAp2iOlyAAAAOMA&#10;AAAPAAAAAAAAAAAAAAAAAAcCAABkcnMvZG93bnJldi54bWxQSwUGAAAAAAMAAwC3AAAA/AIAAAAA&#10;">
                    <v:rect id="Rectangle 393345429" o:spid="_x0000_s1051" style="position:absolute;left:19050;top:6858;width:9144;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w67ygAAAOIAAAAPAAAAZHJzL2Rvd25yZXYueG1sRI/RSsNA&#10;FETfBf9huYJvdmMTSxK7LaUoagtCoh9wzd5mQ7N3Q3Zt49+7gtDHYWbOMMv1ZHtxotF3jhXczxIQ&#10;xI3THbcKPj+e73IQPiBr7B2Tgh/ysF5dXy2x1O7MFZ3q0IoIYV+iAhPCUErpG0MW/cwNxNE7uNFi&#10;iHJspR7xHOG2l/MkWUiLHccFgwNtDTXH+tsqeK93A5nDPt8+fdVvISuq/GVRKXV7M20eQQSawiX8&#10;337VCtIiTbOHbF7A36V4B+TqFwAA//8DAFBLAQItABQABgAIAAAAIQDb4fbL7gAAAIUBAAATAAAA&#10;AAAAAAAAAAAAAAAAAABbQ29udGVudF9UeXBlc10ueG1sUEsBAi0AFAAGAAgAAAAhAFr0LFu/AAAA&#10;FQEAAAsAAAAAAAAAAAAAAAAAHwEAAF9yZWxzLy5yZWxzUEsBAi0AFAAGAAgAAAAhAJu7DrvKAAAA&#10;4gAAAA8AAAAAAAAAAAAAAAAABwIAAGRycy9kb3ducmV2LnhtbFBLBQYAAAAAAwADALcAAAD+AgAA&#10;AAA=&#10;" fillcolor="#c5e0b4" strokecolor="windowText" strokeweight="1pt"/>
                    <v:line id="Straight Connector 741491171" o:spid="_x0000_s1052" style="position:absolute;visibility:visible;mso-wrap-style:square" from="19050,27647" to="28194,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FryAAAAOIAAAAPAAAAZHJzL2Rvd25yZXYueG1sRI9BSwMx&#10;FITvgv8hPMGbzUaKbdempRQFLx7cas+PzXN3281LSOLu9t83guBxmJlvmPV2sr0YKMTOsQY1K0AQ&#10;18503Gj4PLw+LEHEhGywd0waLhRhu7m9WWNp3MgfNFSpERnCsUQNbUq+lDLWLVmMM+eJs/ftgsWU&#10;ZWikCThmuO3lY1E8SYsd54UWPe1bqs/Vj9VQsXxfKd8sj4GGMU7+8HV8OWl9fzftnkEkmtJ/+K/9&#10;ZjQs5mq+Umqh4PdSvgNycwUAAP//AwBQSwECLQAUAAYACAAAACEA2+H2y+4AAACFAQAAEwAAAAAA&#10;AAAAAAAAAAAAAAAAW0NvbnRlbnRfVHlwZXNdLnhtbFBLAQItABQABgAIAAAAIQBa9CxbvwAAABUB&#10;AAALAAAAAAAAAAAAAAAAAB8BAABfcmVscy8ucmVsc1BLAQItABQABgAIAAAAIQBIHJFryAAAAOIA&#10;AAAPAAAAAAAAAAAAAAAAAAcCAABkcnMvZG93bnJldi54bWxQSwUGAAAAAAMAAwC3AAAA/AIAAAAA&#10;" strokecolor="windowText" strokeweight="1pt">
                      <v:stroke joinstyle="miter"/>
                      <o:lock v:ext="edit" shapetype="f"/>
                    </v:line>
                    <v:line id="Straight Connector 205598575" o:spid="_x0000_s1053" style="position:absolute;visibility:visible;mso-wrap-style:square" from="19050,18503" to="28194,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qVJyQAAAOIAAAAPAAAAZHJzL2Rvd25yZXYueG1sRI/BasMw&#10;EETvgf6D2EJviZyAW8eJEkppoZce4rQ5L9bGdmKthKTa7t9XhUCPw8y8Ybb7yfRiIB86ywqWiwwE&#10;cW11x42Cz+PbvAARIrLG3jIp+KEA+93dbIultiMfaKhiIxKEQ4kK2hhdKWWoWzIYFtYRJ+9svcGY&#10;pG+k9jgmuOnlKssepcGO00KLjl5aqq/Vt1FQsfxYL11TnDwNY5jc8ev0elHq4X563oCINMX/8K39&#10;rhWssjxfF/lTDn+X0h2Qu18AAAD//wMAUEsBAi0AFAAGAAgAAAAhANvh9svuAAAAhQEAABMAAAAA&#10;AAAAAAAAAAAAAAAAAFtDb250ZW50X1R5cGVzXS54bWxQSwECLQAUAAYACAAAACEAWvQsW78AAAAV&#10;AQAACwAAAAAAAAAAAAAAAAAfAQAAX3JlbHMvLnJlbHNQSwECLQAUAAYACAAAACEA+36lSckAAADi&#10;AAAADwAAAAAAAAAAAAAAAAAHAgAAZHJzL2Rvd25yZXYueG1sUEsFBgAAAAADAAMAtwAAAP0CAAAA&#10;AA==&#10;" strokecolor="windowText" strokeweight="1pt">
                      <v:stroke joinstyle="miter"/>
                      <o:lock v:ext="edit" shapetype="f"/>
                    </v:line>
                    <v:line id="Straight Connector 191047418" o:spid="_x0000_s1054" style="position:absolute;visibility:visible;mso-wrap-style:square" from="19050,10731" to="28194,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45xQAAAOIAAAAPAAAAZHJzL2Rvd25yZXYueG1sRE89T8Mw&#10;EN2R+h+sq8RGnaAK2lC3qiqQWBhIofMpPpJAfLZsk4R/zw1IjE/ve3eY3aBGiqn3bKBcFaCIG297&#10;bg28nZ9uNqBSRrY4eCYDP5TgsF9c7bCyfuJXGuvcKgnhVKGBLudQaZ2ajhymlQ/Ewn346DALjK22&#10;EScJd4O+LYo77bBnaegw0Kmj5qv+dgZq1i/bMrSbS6RxSnM4v18eP425Xs7HB1CZ5vwv/nM/W5m/&#10;LYv1/bqUzXJJMOj9LwAAAP//AwBQSwECLQAUAAYACAAAACEA2+H2y+4AAACFAQAAEwAAAAAAAAAA&#10;AAAAAAAAAAAAW0NvbnRlbnRfVHlwZXNdLnhtbFBLAQItABQABgAIAAAAIQBa9CxbvwAAABUBAAAL&#10;AAAAAAAAAAAAAAAAAB8BAABfcmVscy8ucmVsc1BLAQItABQABgAIAAAAIQDnK845xQAAAOIAAAAP&#10;AAAAAAAAAAAAAAAAAAcCAABkcnMvZG93bnJldi54bWxQSwUGAAAAAAMAAwC3AAAA+QIAAAAA&#10;" strokecolor="windowText" strokeweight="1pt">
                      <v:stroke joinstyle="miter"/>
                      <o:lock v:ext="edit" shapetype="f"/>
                    </v:line>
                    <v:line id="Straight Connector 1137891688" o:spid="_x0000_s1055" style="position:absolute;flip:x;visibility:visible;mso-wrap-style:square" from="28100,25145" to="34461,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DywAAAOMAAAAPAAAAZHJzL2Rvd25yZXYueG1sRI9LT8Mw&#10;EITvSPwHa5G4UScFhTTUrQCJ1wWJQiWOq3jzEPE62KYJ/Hr2gMRxd2Znvl1vZzeoA4XYezaQLzJQ&#10;xLW3PbcG3l7vzkpQMSFbHDyTgW+KsN0cH62xsn7iFzrsUqskhGOFBrqUxkrrWHfkMC78SCxa44PD&#10;JGNotQ04Sbgb9DLLCu2wZ2nocKTbjuqP3ZczgJ8P7zdNeGruC7v/efaTbZYX1pjTk/n6ClSiOf2b&#10;/64freDn55flKi9KgZafZAF68wsAAP//AwBQSwECLQAUAAYACAAAACEA2+H2y+4AAACFAQAAEwAA&#10;AAAAAAAAAAAAAAAAAAAAW0NvbnRlbnRfVHlwZXNdLnhtbFBLAQItABQABgAIAAAAIQBa9CxbvwAA&#10;ABUBAAALAAAAAAAAAAAAAAAAAB8BAABfcmVscy8ucmVsc1BLAQItABQABgAIAAAAIQAh3d/DywAA&#10;AOMAAAAPAAAAAAAAAAAAAAAAAAcCAABkcnMvZG93bnJldi54bWxQSwUGAAAAAAMAAwC3AAAA/wIA&#10;AAAA&#10;" strokecolor="windowText" strokeweight="1pt">
                      <v:stroke dashstyle="dash" joinstyle="miter"/>
                      <o:lock v:ext="edit" shapetype="f"/>
                    </v:line>
                    <v:line id="Straight Connector 96145745" o:spid="_x0000_s1056" style="position:absolute;flip:x;visibility:visible;mso-wrap-style:square" from="28193,14435" to="3446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w4ywAAAOEAAAAPAAAAZHJzL2Rvd25yZXYueG1sRI9PSwMx&#10;FMTvgt8hPMGbzbZsV12bFitU7aVgW8HjY/P2D25etknaXfvpTUHwOMzMb5jZYjCtOJHzjWUF41EC&#10;griwuuFKwX63unsA4QOyxtYyKfghD4v59dUMc217/qDTNlQiQtjnqKAOocul9EVNBv3IdsTRK60z&#10;GKJ0ldQO+wg3rZwkSSYNNhwXauzopabie3s0CvDw9rUs3bp8zfTneWN7XU5SrdTtzfD8BCLQEP7D&#10;f+13reAxG6fT+3QKl0fxDcj5LwAAAP//AwBQSwECLQAUAAYACAAAACEA2+H2y+4AAACFAQAAEwAA&#10;AAAAAAAAAAAAAAAAAAAAW0NvbnRlbnRfVHlwZXNdLnhtbFBLAQItABQABgAIAAAAIQBa9CxbvwAA&#10;ABUBAAALAAAAAAAAAAAAAAAAAB8BAABfcmVscy8ucmVsc1BLAQItABQABgAIAAAAIQBWEzw4ywAA&#10;AOEAAAAPAAAAAAAAAAAAAAAAAAcCAABkcnMvZG93bnJldi54bWxQSwUGAAAAAAMAAwC3AAAA/wIA&#10;AAAA&#10;" strokecolor="windowText" strokeweight="1pt">
                      <v:stroke dashstyle="dash" joinstyle="miter"/>
                      <o:lock v:ext="edit" shapetype="f"/>
                    </v:line>
                    <v:line id="Straight Connector 1583173330" o:spid="_x0000_s1057" style="position:absolute;flip:x;visibility:visible;mso-wrap-style:square" from="28193,5231" to="34461,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mgzAAAAOMAAAAPAAAAZHJzL2Rvd25yZXYueG1sRI9PT8Mw&#10;DMXvSPsOkZG4sXQrjKksmwAJ2C5IDJA4Wo37R2uckoS17NPjAxJH28/vvd9qM7pOHSnE1rOB2TQD&#10;RVx623Jt4P3t8XIJKiZki51nMvBDETbrydkKC+sHfqXjPtVKTDgWaKBJqS+0jmVDDuPU98Ryq3xw&#10;mGQMtbYBBzF3nZ5n2UI7bFkSGuzpoaHysP92BvDr+fO+CrvqaWE/Ti9+sNX8yhpzcT7e3YJKNKZ/&#10;8d/31kr962U+u8nzXCiESRag178AAAD//wMAUEsBAi0AFAAGAAgAAAAhANvh9svuAAAAhQEAABMA&#10;AAAAAAAAAAAAAAAAAAAAAFtDb250ZW50X1R5cGVzXS54bWxQSwECLQAUAAYACAAAACEAWvQsW78A&#10;AAAVAQAACwAAAAAAAAAAAAAAAAAfAQAAX3JlbHMvLnJlbHNQSwECLQAUAAYACAAAACEAhR65oMwA&#10;AADjAAAADwAAAAAAAAAAAAAAAAAHAgAAZHJzL2Rvd25yZXYueG1sUEsFBgAAAAADAAMAtwAAAAAD&#10;AAAAAA==&#10;" strokecolor="windowText" strokeweight="1pt">
                      <v:stroke dashstyle="dash" joinstyle="miter"/>
                      <o:lock v:ext="edit" shapetype="f"/>
                    </v:line>
                    <v:line id="Straight Connector 1213807392" o:spid="_x0000_s1058" style="position:absolute;flip:x;visibility:visible;mso-wrap-style:square" from="28100,659" to="34461,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lfyQAAAOMAAAAPAAAAZHJzL2Rvd25yZXYueG1sRE9LTwIx&#10;EL6b+B+aMeEmXRaCuFKImgB6MREl4TjZzj7idrq2hV349ZTExON875kve9OIIzlfW1YwGiYgiHOr&#10;ay4VfH+t7mcgfEDW2FgmBSfysFzc3swx07bjTzpuQyliCPsMFVQhtJmUPq/IoB/aljhyhXUGQzxd&#10;KbXDLoabRqZJMpUGa44NFbb0WlH+sz0YBfi72b8U7r1YT/Xu/GE7XaQTrdTgrn9+AhGoD//iP/eb&#10;jvPT0XiWPIwfU7j+FAGQiwsAAAD//wMAUEsBAi0AFAAGAAgAAAAhANvh9svuAAAAhQEAABMAAAAA&#10;AAAAAAAAAAAAAAAAAFtDb250ZW50X1R5cGVzXS54bWxQSwECLQAUAAYACAAAACEAWvQsW78AAAAV&#10;AQAACwAAAAAAAAAAAAAAAAAfAQAAX3JlbHMvLnJlbHNQSwECLQAUAAYACAAAACEAucTpX8kAAADj&#10;AAAADwAAAAAAAAAAAAAAAAAHAgAAZHJzL2Rvd25yZXYueG1sUEsFBgAAAAADAAMAtwAAAP0CAAAA&#10;AA==&#10;" strokecolor="windowText" strokeweight="1pt">
                      <v:stroke dashstyle="dash" joinstyle="miter"/>
                      <o:lock v:ext="edit" shapetype="f"/>
                    </v:lin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254814764" o:spid="_x0000_s1059" type="#_x0000_t66" style="position:absolute;left:29718;top:20574;width:304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qrxgAAAOMAAAAPAAAAZHJzL2Rvd25yZXYueG1sRE/NasJA&#10;EL4LvsMyBW9mo6TRpq4iBUHak1E8D9lpEszOhuw2iT59t1DwON//bHajaURPnastK1hEMQjiwuqa&#10;SwWX82G+BuE8ssbGMim4k4PddjrZYKbtwCfqc1+KEMIuQwWV920mpSsqMugi2xIH7tt2Bn04u1Lq&#10;DocQbhq5jONUGqw5NFTY0kdFxS3/MQoOX718DJ/p4y2+XIsWbza/uqNSs5dx/w7C0+if4n/3UYf5&#10;y9dkvUhWaQJ/PwUA5PYXAAD//wMAUEsBAi0AFAAGAAgAAAAhANvh9svuAAAAhQEAABMAAAAAAAAA&#10;AAAAAAAAAAAAAFtDb250ZW50X1R5cGVzXS54bWxQSwECLQAUAAYACAAAACEAWvQsW78AAAAVAQAA&#10;CwAAAAAAAAAAAAAAAAAfAQAAX3JlbHMvLnJlbHNQSwECLQAUAAYACAAAACEAQVaKq8YAAADjAAAA&#10;DwAAAAAAAAAAAAAAAAAHAgAAZHJzL2Rvd25yZXYueG1sUEsFBgAAAAADAAMAtwAAAPoCAAAAAA==&#10;" adj="9720" fillcolor="#5b9bd5" strokecolor="windowText" strokeweight="1pt"/>
                  </v:group>
                  <v:group id="Group 1998098676" o:spid="_x0000_s1060" style="position:absolute;left:6532;top:5827;width:16037;height:23630" coordorigin="8183,7300" coordsize="20090,2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bEyQAAAOMAAAAPAAAAZHJzL2Rvd25yZXYueG1sRE/NasJA&#10;EL4X+g7LFHqrm7QYk9RVRNriQQpVQbwN2TEJZmdDdpvEt3eFQo/z/c98OZpG9NS52rKCeBKBIC6s&#10;rrlUcNh/vqQgnEfW2FgmBVdysFw8Pswx13bgH+p3vhQhhF2OCirv21xKV1Rk0E1sSxy4s+0M+nB2&#10;pdQdDiHcNPI1ihJpsObQUGFL64qKy+7XKPgacFi9xR/99nJeX0/76fdxG5NSz0/j6h2Ep9H/i//c&#10;Gx3mZ1kaZWkyS+D+UwBALm4AAAD//wMAUEsBAi0AFAAGAAgAAAAhANvh9svuAAAAhQEAABMAAAAA&#10;AAAAAAAAAAAAAAAAAFtDb250ZW50X1R5cGVzXS54bWxQSwECLQAUAAYACAAAACEAWvQsW78AAAAV&#10;AQAACwAAAAAAAAAAAAAAAAAfAQAAX3JlbHMvLnJlbHNQSwECLQAUAAYACAAAACEAVXnGxMkAAADj&#10;AAAADwAAAAAAAAAAAAAAAAAHAgAAZHJzL2Rvd25yZXYueG1sUEsFBgAAAAADAAMAtwAAAP0CAAAA&#10;AA==&#10;">
                    <v:shape id="TextBox 97" o:spid="_x0000_s1061" type="#_x0000_t202" style="position:absolute;left:8183;top:7348;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jcyQAAAOMAAAAPAAAAZHJzL2Rvd25yZXYueG1sRI9Bb8Iw&#10;DIXvk/gPkZF2GwlMMNYREGKbxGEXWHe3Gq+paJyq8Wj598th0o62n99732Y3hlZdqU9NZAvzmQFF&#10;XEXXcG2h/Hx/WINKguywjUwWbpRgt53cbbBwceATXc9Sq2zCqUALXqQrtE6Vp4BpFjvifPuOfUDJ&#10;Y19r1+OQzUOrF8asdMCGc4LHjg6eqsv5J1gQcfv5rXwL6fg1frwO3lRLLK29n477F1BCo/yL/76P&#10;Ltd/Movn1Xr5mCkyU16A3v4CAAD//wMAUEsBAi0AFAAGAAgAAAAhANvh9svuAAAAhQEAABMAAAAA&#10;AAAAAAAAAAAAAAAAAFtDb250ZW50X1R5cGVzXS54bWxQSwECLQAUAAYACAAAACEAWvQsW78AAAAV&#10;AQAACwAAAAAAAAAAAAAAAAAfAQAAX3JlbHMvLnJlbHNQSwECLQAUAAYACAAAACEAocBo3MkAAADj&#10;AAAADwAAAAAAAAAAAAAAAAAHAgAAZHJzL2Rvd25yZXYueG1sUEsFBgAAAAADAAMAtwAAAP0CAAAA&#10;AA==&#10;" filled="f" stroked="f">
                      <v:textbox style="mso-fit-shape-to-text:t">
                        <w:txbxContent>
                          <w:p w14:paraId="489C6BAB"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TSR1</w:t>
                            </w:r>
                          </w:p>
                        </w:txbxContent>
                      </v:textbox>
                    </v:shape>
                    <v:shape id="TextBox 99" o:spid="_x0000_s1062" type="#_x0000_t202" style="position:absolute;left:8183;top:10927;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2axgAAAOMAAAAPAAAAZHJzL2Rvd25yZXYueG1sRE9LS8NA&#10;EL4L/Q/LFLzZTYqaGLstxQf04MUa70N2zIZmZ0N2bNJ/7wqCx/nes9nNvldnGmMX2EC+ykARN8F2&#10;3BqoP15vSlBRkC32gcnAhSLstourDVY2TPxO56O0KoVwrNCAExkqrWPjyGNchYE4cV9h9CjpHFtt&#10;R5xSuO/1OsvutceOU4PDgZ4cNafjtzcgYvf5pX7x8fA5vz1PLmvusDbmejnvH0EJzfIv/nMfbJpf&#10;FGVRPtwWOfz+lADQ2x8AAAD//wMAUEsBAi0AFAAGAAgAAAAhANvh9svuAAAAhQEAABMAAAAAAAAA&#10;AAAAAAAAAAAAAFtDb250ZW50X1R5cGVzXS54bWxQSwECLQAUAAYACAAAACEAWvQsW78AAAAVAQAA&#10;CwAAAAAAAAAAAAAAAAAfAQAAX3JlbHMvLnJlbHNQSwECLQAUAAYACAAAACEAP5ydmsYAAADjAAAA&#10;DwAAAAAAAAAAAAAAAAAHAgAAZHJzL2Rvd25yZXYueG1sUEsFBgAAAAADAAMAtwAAAPoCAAAAAA==&#10;" filled="f" stroked="f">
                      <v:textbox style="mso-fit-shape-to-text:t">
                        <w:txbxContent>
                          <w:p w14:paraId="33DB5930"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TSR2</w:t>
                            </w:r>
                          </w:p>
                        </w:txbxContent>
                      </v:textbox>
                    </v:shape>
                    <v:shape id="TextBox 107" o:spid="_x0000_s1063" type="#_x0000_t202" style="position:absolute;left:8183;top:14769;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IrzyQAAAOMAAAAPAAAAZHJzL2Rvd25yZXYueG1sRI9BT8Mw&#10;DIXvSPyHyEjcWLIBY5Rl0zRA2mGXbeVuNaapaJKq8dbu3+MDEkf7Pb/3ebkeQ6su1OcmRQvTiQFF&#10;sUquibWF8vT5sACVGaPDNkWycKUM69XtzRILl4Z4oMuRayUhMRdowTN3hda58hQwT1JHUbTv1Adk&#10;Gftaux4HCQ+tnhkz1wGbKA0eO9p6qn6O52CB2W2m1/Ij5N3XuH8fvKmesbT2/m7cvIFiGvnf/He9&#10;c4L/+PpkXhazuUDLT7IAvfoFAAD//wMAUEsBAi0AFAAGAAgAAAAhANvh9svuAAAAhQEAABMAAAAA&#10;AAAAAAAAAAAAAAAAAFtDb250ZW50X1R5cGVzXS54bWxQSwECLQAUAAYACAAAACEAWvQsW78AAAAV&#10;AQAACwAAAAAAAAAAAAAAAAAfAQAAX3JlbHMvLnJlbHNQSwECLQAUAAYACAAAACEAwXCK88kAAADj&#10;AAAADwAAAAAAAAAAAAAAAAAHAgAAZHJzL2Rvd25yZXYueG1sUEsFBgAAAAADAAMAtwAAAP0CAAAA&#10;AA==&#10;" filled="f" stroked="f">
                      <v:textbox style="mso-fit-shape-to-text:t">
                        <w:txbxContent>
                          <w:p w14:paraId="00F946A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TSR3</w:t>
                            </w:r>
                          </w:p>
                        </w:txbxContent>
                      </v:textbox>
                    </v:shape>
                    <v:shape id="TextBox 109" o:spid="_x0000_s1064" type="#_x0000_t202" style="position:absolute;left:8183;top:20622;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VGxQAAAOMAAAAPAAAAZHJzL2Rvd25yZXYueG1sRE9LT8Mw&#10;DL4j8R8iI3FjyYBWrCybJh7SDlwY5W41XlPROFVj1u7fEyQkjv7eXm/n0KsTjamLbGG5MKCIm+g6&#10;bi3UH683D6CSIDvsI5OFMyXYbi4v1li5OPE7nQ7SqhzCqUILXmSotE6Np4BpEQfizB3jGFDyObba&#10;jTjl8NDrW2NKHbDj3OBxoCdPzdfhO1gQcbvluX4Jaf85vz1P3jQF1tZeX827R1BCs/yL/9x7l+eb&#10;cnVfmOKuhN+fMgB68wMAAP//AwBQSwECLQAUAAYACAAAACEA2+H2y+4AAACFAQAAEwAAAAAAAAAA&#10;AAAAAAAAAAAAW0NvbnRlbnRfVHlwZXNdLnhtbFBLAQItABQABgAIAAAAIQBa9CxbvwAAABUBAAAL&#10;AAAAAAAAAAAAAAAAAB8BAABfcmVscy8ucmVsc1BLAQItABQABgAIAAAAIQDIYOVGxQAAAOMAAAAP&#10;AAAAAAAAAAAAAAAAAAcCAABkcnMvZG93bnJldi54bWxQSwUGAAAAAAMAAwC3AAAA+QIAAAAA&#10;" filled="f" stroked="f">
                      <v:textbox style="mso-fit-shape-to-text:t">
                        <w:txbxContent>
                          <w:p w14:paraId="761841B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TSR4</w:t>
                            </w:r>
                          </w:p>
                        </w:txbxContent>
                      </v:textbox>
                    </v:shape>
                    <v:shape id="TextBox 113" o:spid="_x0000_s1065" type="#_x0000_t202" style="position:absolute;left:8183;top:24811;width:685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KKhyQAAAOIAAAAPAAAAZHJzL2Rvd25yZXYueG1sRI/NTsMw&#10;EITvSLyDtUjcqN0WShvqVhU/Ug+9UMJ9FW/jiHgdxUuTvj1GQuI4mplvNOvtGFp1pj41kS1MJwYU&#10;cRVdw7WF8uPtbgkqCbLDNjJZuFCC7eb6ao2FiwO/0/kotcoQTgVa8CJdoXWqPAVMk9gRZ+8U+4CS&#10;ZV9r1+OQ4aHVM2MWOmDDecFjR8+eqq/jd7Ag4nbTS/ka0v5zPLwM3lQPWFp7ezPunkAJjfIf/mvv&#10;nYXZ6t7MV4v5I/xeyndAb34AAAD//wMAUEsBAi0AFAAGAAgAAAAhANvh9svuAAAAhQEAABMAAAAA&#10;AAAAAAAAAAAAAAAAAFtDb250ZW50X1R5cGVzXS54bWxQSwECLQAUAAYACAAAACEAWvQsW78AAAAV&#10;AQAACwAAAAAAAAAAAAAAAAAfAQAAX3JlbHMvLnJlbHNQSwECLQAUAAYACAAAACEAdsiiockAAADi&#10;AAAADwAAAAAAAAAAAAAAAAAHAgAAZHJzL2Rvd25yZXYueG1sUEsFBgAAAAADAAMAtwAAAP0CAAAA&#10;AA==&#10;" filled="f" stroked="f">
                      <v:textbox style="mso-fit-shape-to-text:t">
                        <w:txbxContent>
                          <w:p w14:paraId="1B9D1904"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TSR5</w:t>
                            </w:r>
                          </w:p>
                        </w:txbxContent>
                      </v:textbox>
                    </v:shape>
                    <v:shape id="TextBox 115" o:spid="_x0000_s1066" type="#_x0000_t202" style="position:absolute;left:8183;top:32177;width:6857;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LGMxgAAAOMAAAAPAAAAZHJzL2Rvd25yZXYueG1sRE/NSsNA&#10;EL4LfYdlhN7sJqW1IXZbSq3QgxdrvA/ZMRvMzobs2KRv7wqCx/n+Z7uffKeuNMQ2sIF8kYEiroNt&#10;uTFQvb88FKCiIFvsApOBG0XY72Z3WyxtGPmNrhdpVArhWKIBJ9KXWsfakce4CD1x4j7D4FHSOTTa&#10;DjimcN/pZZY9ao8tpwaHPR0d1V+Xb29AxB7yW3Xy8fwxvT6PLqvXWBkzv58OT6CEJvkX/7nPNs1f&#10;Fat8udkUa/j9KQGgdz8AAAD//wMAUEsBAi0AFAAGAAgAAAAhANvh9svuAAAAhQEAABMAAAAAAAAA&#10;AAAAAAAAAAAAAFtDb250ZW50X1R5cGVzXS54bWxQSwECLQAUAAYACAAAACEAWvQsW78AAAAVAQAA&#10;CwAAAAAAAAAAAAAAAAAfAQAAX3JlbHMvLnJlbHNQSwECLQAUAAYACAAAACEA8eCxjMYAAADjAAAA&#10;DwAAAAAAAAAAAAAAAAAHAgAAZHJzL2Rvd25yZXYueG1sUEsFBgAAAAADAAMAtwAAAPoCAAAAAA==&#10;" filled="f" stroked="f">
                      <v:textbox style="mso-fit-shape-to-text:t">
                        <w:txbxContent>
                          <w:p w14:paraId="74D57B40"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TSR6</w:t>
                            </w:r>
                          </w:p>
                        </w:txbxContent>
                      </v:textbox>
                    </v:shape>
                    <v:shapetype id="_x0000_t32" coordsize="21600,21600" o:spt="32" o:oned="t" path="m,l21600,21600e" filled="f">
                      <v:path arrowok="t" fillok="f" o:connecttype="none"/>
                      <o:lock v:ext="edit" shapetype="t"/>
                    </v:shapetype>
                    <v:shape id="Straight Arrow Connector 1219199648" o:spid="_x0000_s1067" type="#_x0000_t32" style="position:absolute;left:14660;top:8884;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bPzAAAAOMAAAAPAAAAZHJzL2Rvd25yZXYueG1sRI9BS8NA&#10;EIXvQv/DMgVvdpMQi4ndllKp5CLYVhBvQ3ZMYrOzIbu28d87B8HjzHvz3jerzeR6daExdJ4NpIsE&#10;FHHtbceNgbfT/u4BVIjIFnvPZOCHAmzWs5sVltZf+UCXY2yUhHAo0UAb41BqHeqWHIaFH4hF+/Sj&#10;wyjj2Gg74lXCXa+zJFlqhx1LQ4sD7Vqqz8dvZ2B/X+C2P1Snr48hw9en9/z5Ja+MuZ1P20dQkab4&#10;b/67rqzgZ2mRFsUyF2j5SRag178AAAD//wMAUEsBAi0AFAAGAAgAAAAhANvh9svuAAAAhQEAABMA&#10;AAAAAAAAAAAAAAAAAAAAAFtDb250ZW50X1R5cGVzXS54bWxQSwECLQAUAAYACAAAACEAWvQsW78A&#10;AAAVAQAACwAAAAAAAAAAAAAAAAAfAQAAX3JlbHMvLnJlbHNQSwECLQAUAAYACAAAACEAME4mz8wA&#10;AADjAAAADwAAAAAAAAAAAAAAAAAHAgAAZHJzL2Rvd25yZXYueG1sUEsFBgAAAAADAAMAtwAAAAAD&#10;AAAAAA==&#10;" strokecolor="blue" strokeweight="2.25pt">
                      <v:stroke endarrow="block" joinstyle="miter"/>
                    </v:shape>
                    <v:shape id="TextBox 98" o:spid="_x0000_s1068" type="#_x0000_t202" style="position:absolute;left:20096;top:7300;width:817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XgxgAAAOMAAAAPAAAAZHJzL2Rvd25yZXYueG1sRE9La8Mw&#10;DL4P+h+MBrutTrN0j7RuKXtAD7usy+4iVuOwWA6x2qT/fh4MdtT31no7+U6daYhtYAOLeQaKuA62&#10;5cZA9fl2+wgqCrLFLjAZuFCE7WZ2tcbShpE/6HyQRqUQjiUacCJ9qXWsHXmM89ATJ+4YBo+SzqHR&#10;dsAxhftO51l2rz22nBoc9vTsqP4+nLwBEbtbXKpXH/df0/vL6LJ6iZUxN9fTbgVKaJJ/8Z97b9P8&#10;4qnI75YPRQ6/PyUA9OYHAAD//wMAUEsBAi0AFAAGAAgAAAAhANvh9svuAAAAhQEAABMAAAAAAAAA&#10;AAAAAAAAAAAAAFtDb250ZW50X1R5cGVzXS54bWxQSwECLQAUAAYACAAAACEAWvQsW78AAAAVAQAA&#10;CwAAAAAAAAAAAAAAAAAfAQAAX3JlbHMvLnJlbHNQSwECLQAUAAYACAAAACEAWUsF4MYAAADjAAAA&#10;DwAAAAAAAAAAAAAAAAAHAgAAZHJzL2Rvd25yZXYueG1sUEsFBgAAAAADAAMAtwAAAPoCAAAAAA==&#10;" filled="f" stroked="f">
                      <v:textbox style="mso-fit-shape-to-text:t">
                        <w:txbxContent>
                          <w:p w14:paraId="3CE64D6C"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TSR1'</w:t>
                            </w:r>
                          </w:p>
                        </w:txbxContent>
                      </v:textbox>
                    </v:shape>
                    <v:shape id="TextBox 100" o:spid="_x0000_s1069" type="#_x0000_t202" style="position:absolute;left:19930;top:10879;width:8019;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esyAAAAOMAAAAPAAAAZHJzL2Rvd25yZXYueG1sRI9Bb8Iw&#10;DIXvSPsPkSftBgmdQFMhIASbxGGXsXK3Gq+p1jhVk9Hy7+fDpB3t9/ze5+1+Cp260ZDayBaWCwOK&#10;uI6u5cZC9fk2fwGVMrLDLjJZuFOC/e5htsXSxZE/6HbJjZIQTiVa8Dn3pdap9hQwLWJPLNpXHAJm&#10;GYdGuwFHCQ+dLoxZ64AtS4PHno6e6u/LT7CQszss79VrSOfr9H4avalXWFn79DgdNqAyTfnf/Hd9&#10;doJvTPG8XplCoOUnWYDe/QIAAP//AwBQSwECLQAUAAYACAAAACEA2+H2y+4AAACFAQAAEwAAAAAA&#10;AAAAAAAAAAAAAAAAW0NvbnRlbnRfVHlwZXNdLnhtbFBLAQItABQABgAIAAAAIQBa9CxbvwAAABUB&#10;AAALAAAAAAAAAAAAAAAAAB8BAABfcmVscy8ucmVsc1BLAQItABQABgAIAAAAIQBxCjesyAAAAOMA&#10;AAAPAAAAAAAAAAAAAAAAAAcCAABkcnMvZG93bnJldi54bWxQSwUGAAAAAAMAAwC3AAAA/AIAAAAA&#10;" filled="f" stroked="f">
                      <v:textbox style="mso-fit-shape-to-text:t">
                        <w:txbxContent>
                          <w:p w14:paraId="6A34F5C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TSR2'</w:t>
                            </w:r>
                          </w:p>
                        </w:txbxContent>
                      </v:textbox>
                    </v:shape>
                    <v:shape id="TextBox 108" o:spid="_x0000_s1070" type="#_x0000_t202" style="position:absolute;left:20096;top:14721;width:817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a7yQAAAOIAAAAPAAAAZHJzL2Rvd25yZXYueG1sRI/NasMw&#10;EITvhb6D2EBvjeykNakbJYT+QA69JHHvi7W1TKyVsbax8/ZVodDjMDPfMOvt5Dt1oSG2gQ3k8wwU&#10;cR1sy42B6vR+vwIVBdliF5gMXCnCdnN7s8bShpEPdDlKoxKEY4kGnEhfah1rRx7jPPTEyfsKg0dJ&#10;cmi0HXBMcN/pRZYV2mPLacFhTy+O6vPx2xsQsbv8Wr35uP+cPl5Hl9WPWBlzN5t2z6CEJvkP/7X3&#10;1sDyaVE8FMu8gN9L6Q7ozQ8AAAD//wMAUEsBAi0AFAAGAAgAAAAhANvh9svuAAAAhQEAABMAAAAA&#10;AAAAAAAAAAAAAAAAAFtDb250ZW50X1R5cGVzXS54bWxQSwECLQAUAAYACAAAACEAWvQsW78AAAAV&#10;AQAACwAAAAAAAAAAAAAAAAAfAQAAX3JlbHMvLnJlbHNQSwECLQAUAAYACAAAACEAHFSmu8kAAADi&#10;AAAADwAAAAAAAAAAAAAAAAAHAgAAZHJzL2Rvd25yZXYueG1sUEsFBgAAAAADAAMAtwAAAP0CAAAA&#10;AA==&#10;" filled="f" stroked="f">
                      <v:textbox style="mso-fit-shape-to-text:t">
                        <w:txbxContent>
                          <w:p w14:paraId="0CC5F9C9"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TSR3'</w:t>
                            </w:r>
                          </w:p>
                        </w:txbxContent>
                      </v:textbox>
                    </v:shape>
                    <v:shape id="TextBox 110" o:spid="_x0000_s1071" type="#_x0000_t202" style="position:absolute;left:20096;top:20574;width:817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4CxgAAAOMAAAAPAAAAZHJzL2Rvd25yZXYueG1sRE9LT8Mw&#10;DL4j8R8iI3FjSXmMrSybJh7SDrswyt1qvKaicarGrN2/J0hIHP29vdpMoVMnGlIb2UIxM6CI6+ha&#10;bixUH283C1BJkB12kcnCmRJs1pcXKyxdHPmdTgdpVA7hVKIFL9KXWqfaU8A0iz1x5o5xCCj5HBrt&#10;BhxzeOj0rTFzHbDl3OCxp2dP9dfhO1gQcdviXL2GtPuc9i+jN/UDVtZeX03bJ1BCk/yL/9w7l+cv&#10;l3NzZ+4fC/j9KQOg1z8AAAD//wMAUEsBAi0AFAAGAAgAAAAhANvh9svuAAAAhQEAABMAAAAAAAAA&#10;AAAAAAAAAAAAAFtDb250ZW50X1R5cGVzXS54bWxQSwECLQAUAAYACAAAACEAWvQsW78AAAAVAQAA&#10;CwAAAAAAAAAAAAAAAAAfAQAAX3JlbHMvLnJlbHNQSwECLQAUAAYACAAAACEA3pMOAsYAAADjAAAA&#10;DwAAAAAAAAAAAAAAAAAHAgAAZHJzL2Rvd25yZXYueG1sUEsFBgAAAAADAAMAtwAAAPoCAAAAAA==&#10;" filled="f" stroked="f">
                      <v:textbox style="mso-fit-shape-to-text:t">
                        <w:txbxContent>
                          <w:p w14:paraId="220C5EBA"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TSR4'</w:t>
                            </w:r>
                          </w:p>
                        </w:txbxContent>
                      </v:textbox>
                    </v:shape>
                    <v:shape id="TextBox 114" o:spid="_x0000_s1072" type="#_x0000_t202" style="position:absolute;left:20228;top:24762;width:751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VHXyQAAAOMAAAAPAAAAZHJzL2Rvd25yZXYueG1sRI9Bb8Iw&#10;DIXvk/gPkZF2GwlsINYRENqGxGEXWHe3Gq+p1jhVk9Hy7/Fh0o72e37v82Y3hlZdqE9NZAvzmQFF&#10;XEXXcG2h/Dw8rEGljOywjUwWrpRgt53cbbBwceATXc65VhLCqUALPueu0DpVngKmWeyIRfuOfcAs&#10;Y19r1+Mg4aHVC2NWOmDD0uCxo1dP1c/5N1jI2e3n1/I9pOPX+PE2eFMtsbT2fjruX0BlGvO/+e/6&#10;6AT/afm8Wj+ahUDLT7IAvb0BAAD//wMAUEsBAi0AFAAGAAgAAAAhANvh9svuAAAAhQEAABMAAAAA&#10;AAAAAAAAAAAAAAAAAFtDb250ZW50X1R5cGVzXS54bWxQSwECLQAUAAYACAAAACEAWvQsW78AAAAV&#10;AQAACwAAAAAAAAAAAAAAAAAfAQAAX3JlbHMvLnJlbHNQSwECLQAUAAYACAAAACEAKdFR18kAAADj&#10;AAAADwAAAAAAAAAAAAAAAAAHAgAAZHJzL2Rvd25yZXYueG1sUEsFBgAAAAADAAMAtwAAAP0CAAAA&#10;AA==&#10;" filled="f" stroked="f">
                      <v:textbox style="mso-fit-shape-to-text:t">
                        <w:txbxContent>
                          <w:p w14:paraId="4F9ABCB8"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TSR5'</w:t>
                            </w:r>
                          </w:p>
                        </w:txbxContent>
                      </v:textbox>
                    </v:shape>
                    <v:shape id="TextBox 116" o:spid="_x0000_s1073" type="#_x0000_t202" style="position:absolute;left:20096;top:32129;width:8177;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fyAAAAOIAAAAPAAAAZHJzL2Rvd25yZXYueG1sRI9Ba8JA&#10;FITvBf/D8oTe6ia2ikZXEduCh15q0/sj+5oNZt+G7KuJ/75bKPQ4zMw3zHY/+lZdqY9NYAP5LANF&#10;XAXbcG2g/Hh9WIGKgmyxDUwGbhRhv5vcbbGwYeB3up6lVgnCsUADTqQrtI6VI49xFjri5H2F3qMk&#10;2dfa9jgkuG/1PMuW2mPDacFhR0dH1eX87Q2I2EN+K198PH2Ob8+Dy6oFlsbcT8fDBpTQKP/hv/bJ&#10;Glg8Lp/Wq3Wew++ldAf07gcAAP//AwBQSwECLQAUAAYACAAAACEA2+H2y+4AAACFAQAAEwAAAAAA&#10;AAAAAAAAAAAAAAAAW0NvbnRlbnRfVHlwZXNdLnhtbFBLAQItABQABgAIAAAAIQBa9CxbvwAAABUB&#10;AAALAAAAAAAAAAAAAAAAAB8BAABfcmVscy8ucmVsc1BLAQItABQABgAIAAAAIQBE/JLfyAAAAOIA&#10;AAAPAAAAAAAAAAAAAAAAAAcCAABkcnMvZG93bnJldi54bWxQSwUGAAAAAAMAAwC3AAAA/AIAAAAA&#10;" filled="f" stroked="f">
                      <v:textbox style="mso-fit-shape-to-text:t">
                        <w:txbxContent>
                          <w:p w14:paraId="7E46ACB1" w14:textId="77777777" w:rsidR="000B47C0" w:rsidRPr="007C52F0" w:rsidRDefault="000B47C0" w:rsidP="000B47C0">
                            <w:pPr>
                              <w:textAlignment w:val="baseline"/>
                              <w:rPr>
                                <w:rFonts w:asciiTheme="majorHAnsi" w:hAnsiTheme="majorHAnsi"/>
                                <w:color w:val="000000" w:themeColor="text1"/>
                                <w:kern w:val="24"/>
                                <w:szCs w:val="24"/>
                              </w:rPr>
                            </w:pPr>
                            <w:r w:rsidRPr="007C52F0">
                              <w:rPr>
                                <w:rFonts w:asciiTheme="majorHAnsi" w:hAnsiTheme="majorHAnsi"/>
                                <w:color w:val="000000" w:themeColor="text1"/>
                                <w:kern w:val="24"/>
                                <w:szCs w:val="24"/>
                              </w:rPr>
                              <w:t>TSR6'</w:t>
                            </w:r>
                          </w:p>
                        </w:txbxContent>
                      </v:textbox>
                    </v:shape>
                    <v:shape id="Straight Arrow Connector 916782356" o:spid="_x0000_s1074" type="#_x0000_t32" style="position:absolute;left:14660;top:33725;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oLywAAAOIAAAAPAAAAZHJzL2Rvd25yZXYueG1sRI9Ba8JA&#10;FITvQv/D8gredGOqqaauIpVILkLVgnh7ZF+TtNm3Ibtq+u+7hUKPw8x8wyzXvWnEjTpXW1YwGUcg&#10;iAuray4VvJ+y0RyE88gaG8uk4JscrFcPgyWm2t75QLejL0WAsEtRQeV9m0rpiooMurFtiYP3YTuD&#10;PsiulLrDe4CbRsZRlEiDNYeFClt6raj4Ol6Ngmy2wE1zyE+flzbGt+15uttPc6WGj/3mBYSn3v+H&#10;/9q5VrCYJM/z+GmWwO+lcAfk6gcAAP//AwBQSwECLQAUAAYACAAAACEA2+H2y+4AAACFAQAAEwAA&#10;AAAAAAAAAAAAAAAAAAAAW0NvbnRlbnRfVHlwZXNdLnhtbFBLAQItABQABgAIAAAAIQBa9CxbvwAA&#10;ABUBAAALAAAAAAAAAAAAAAAAAB8BAABfcmVscy8ucmVsc1BLAQItABQABgAIAAAAIQAmGLoLywAA&#10;AOIAAAAPAAAAAAAAAAAAAAAAAAcCAABkcnMvZG93bnJldi54bWxQSwUGAAAAAAMAAwC3AAAA/wIA&#10;AAAA&#10;" strokecolor="blue" strokeweight="2.25pt">
                      <v:stroke endarrow="block" joinstyle="miter"/>
                    </v:shape>
                    <v:shape id="Straight Arrow Connector 1484220036" o:spid="_x0000_s1075" type="#_x0000_t32" style="position:absolute;left:14660;top:26517;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F51ywAAAOMAAAAPAAAAZHJzL2Rvd25yZXYueG1sRI9Pa8JA&#10;EMXvBb/DMkJvddMYRaOrSEXJRah/QLwN2TFJm50N2a3Gb98tCD3OvPd+82a+7EwtbtS6yrKC90EE&#10;gji3uuJCwem4eZuAcB5ZY22ZFDzIwXLRe5ljqu2d93Q7+EIECLsUFZTeN6mULi/JoBvYhjhoV9sa&#10;9GFsC6lbvAe4qWUcRWNpsOJwocSGPkrKvw8/RsFmNMVVvc+OX5cmxs/1Odnukkyp1363moHw1Pl/&#10;8zOd6VA/mSRxwA7H8PdTWIBc/AIAAP//AwBQSwECLQAUAAYACAAAACEA2+H2y+4AAACFAQAAEwAA&#10;AAAAAAAAAAAAAAAAAAAAW0NvbnRlbnRfVHlwZXNdLnhtbFBLAQItABQABgAIAAAAIQBa9CxbvwAA&#10;ABUBAAALAAAAAAAAAAAAAAAAAB8BAABfcmVscy8ucmVsc1BLAQItABQABgAIAAAAIQB1eF51ywAA&#10;AOMAAAAPAAAAAAAAAAAAAAAAAAcCAABkcnMvZG93bnJldi54bWxQSwUGAAAAAAMAAwC3AAAA/wIA&#10;AAAA&#10;" strokecolor="blue" strokeweight="2.25pt">
                      <v:stroke endarrow="block" joinstyle="miter"/>
                    </v:shape>
                    <v:shape id="Straight Arrow Connector 1237661458" o:spid="_x0000_s1076" type="#_x0000_t32" style="position:absolute;left:14660;top:22236;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b/zQAAAOMAAAAPAAAAZHJzL2Rvd25yZXYueG1sRI9PS8NA&#10;EMXvQr/DMoI3u2lMU43dlqJUchH6RxBvQ3ZMUrOzIbu28ds7B8HjzHvz3m+W69F16kxDaD0bmE0T&#10;UMSVty3XBt6O29t7UCEiW+w8k4EfCrBeTa6WWFh/4T2dD7FWEsKhQANNjH2hdagachimvicW7dMP&#10;DqOMQ63tgBcJd51OkyTXDluWhgZ7emqo+jp8OwPb+QNuun15PH30Ke6e37OX16w05uZ63DyCijTG&#10;f/PfdWkFP71b5Pksmwu0/CQL0KtfAAAA//8DAFBLAQItABQABgAIAAAAIQDb4fbL7gAAAIUBAAAT&#10;AAAAAAAAAAAAAAAAAAAAAABbQ29udGVudF9UeXBlc10ueG1sUEsBAi0AFAAGAAgAAAAhAFr0LFu/&#10;AAAAFQEAAAsAAAAAAAAAAAAAAAAAHwEAAF9yZWxzLy5yZWxzUEsBAi0AFAAGAAgAAAAhAJaQtv/N&#10;AAAA4wAAAA8AAAAAAAAAAAAAAAAABwIAAGRycy9kb3ducmV2LnhtbFBLBQYAAAAAAwADALcAAAAB&#10;AwAAAAA=&#10;" strokecolor="blue" strokeweight="2.25pt">
                      <v:stroke endarrow="block" joinstyle="miter"/>
                    </v:shape>
                    <v:shape id="Straight Arrow Connector 493055386" o:spid="_x0000_s1077" type="#_x0000_t32" style="position:absolute;left:14660;top:16500;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WlzAAAAOIAAAAPAAAAZHJzL2Rvd25yZXYueG1sRI9Pa8JA&#10;FMTvBb/D8oTe6qaaSBJdRVosuRTqHxBvj+wzSZt9G7JbTb99t1DwOMzMb5jlejCtuFLvGssKnicR&#10;COLS6oYrBcfD9ikF4TyyxtYyKfghB+vV6GGJubY33tF17ysRIOxyVFB73+VSurImg25iO+LgXWxv&#10;0AfZV1L3eAtw08ppFM2lwYbDQo0dvdRUfu2/jYJtkuGm3RWHz3M3xY/XU/z2HhdKPY6HzQKEp8Hf&#10;w//tQiuIs1mUJLN0Dn+Xwh2Qq18AAAD//wMAUEsBAi0AFAAGAAgAAAAhANvh9svuAAAAhQEAABMA&#10;AAAAAAAAAAAAAAAAAAAAAFtDb250ZW50X1R5cGVzXS54bWxQSwECLQAUAAYACAAAACEAWvQsW78A&#10;AAAVAQAACwAAAAAAAAAAAAAAAAAfAQAAX3JlbHMvLnJlbHNQSwECLQAUAAYACAAAACEAnzNFpcwA&#10;AADiAAAADwAAAAAAAAAAAAAAAAAHAgAAZHJzL2Rvd25yZXYueG1sUEsFBgAAAAADAAMAtwAAAAAD&#10;AAAAAA==&#10;" strokecolor="blue" strokeweight="2.25pt">
                      <v:stroke endarrow="block" joinstyle="miter"/>
                    </v:shape>
                    <v:shape id="Straight Arrow Connector 884937128" o:spid="_x0000_s1078" type="#_x0000_t32" style="position:absolute;left:14660;top:12688;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7oyQAAAOIAAAAPAAAAZHJzL2Rvd25yZXYueG1sRE/LasJA&#10;FN0L/YfhCt3pxDTVGB1FWizZFOoDxN0lc03SZu6EzFTTv+8sBJeH816ue9OIK3WutqxgMo5AEBdW&#10;11wqOB62oxSE88gaG8uk4I8crFdPgyVm2t54R9e9L0UIYZehgsr7NpPSFRUZdGPbEgfuYjuDPsCu&#10;lLrDWwg3jYyjaCoN1hwaKmzpraLiZ/9rFGxf57hpdvnh+9zG+PV+Sj4+k1yp52G/WYDw1PuH+O7O&#10;tYI0TeYvs0kcNodL4Q7I1T8AAAD//wMAUEsBAi0AFAAGAAgAAAAhANvh9svuAAAAhQEAABMAAAAA&#10;AAAAAAAAAAAAAAAAAFtDb250ZW50X1R5cGVzXS54bWxQSwECLQAUAAYACAAAACEAWvQsW78AAAAV&#10;AQAACwAAAAAAAAAAAAAAAAAfAQAAX3JlbHMvLnJlbHNQSwECLQAUAAYACAAAACEAdake6MkAAADi&#10;AAAADwAAAAAAAAAAAAAAAAAHAgAAZHJzL2Rvd25yZXYueG1sUEsFBgAAAAADAAMAtwAAAP0CAAAA&#10;AA==&#10;" strokecolor="blue" strokeweight="2.25pt">
                      <v:stroke endarrow="block" joinstyle="miter"/>
                    </v:shape>
                  </v:group>
                  <v:group id="Group 1993009488" o:spid="_x0000_s1079" style="position:absolute;left:5474;top:8601;width:9732;height:13447" coordorigin="6857,10775" coordsize="12192,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5yzAAAAOMAAAAPAAAAZHJzL2Rvd25yZXYueG1sRI9BS8NA&#10;EIXvgv9hGcGb3Y1VaWK3pRQVD6VgK4i3ITtNQrOzIbsm6b93DoLHmffmvW+W68m3aqA+NoEtZDMD&#10;irgMruHKwufx9W4BKiZkh21gsnChCOvV9dUSCxdG/qDhkColIRwLtFCn1BVax7Imj3EWOmLRTqH3&#10;mGTsK+16HCXct/remCftsWFpqLGjbU3l+fDjLbyNOG7m2cuwO5+2l+/j4/5rl5G1tzfT5hlUoin9&#10;m/+u353g5/ncmPxhIdDykyxAr34BAAD//wMAUEsBAi0AFAAGAAgAAAAhANvh9svuAAAAhQEAABMA&#10;AAAAAAAAAAAAAAAAAAAAAFtDb250ZW50X1R5cGVzXS54bWxQSwECLQAUAAYACAAAACEAWvQsW78A&#10;AAAVAQAACwAAAAAAAAAAAAAAAAAfAQAAX3JlbHMvLnJlbHNQSwECLQAUAAYACAAAACEAix2+cswA&#10;AADjAAAADwAAAAAAAAAAAAAAAAAHAgAAZHJzL2Rvd25yZXYueG1sUEsFBgAAAAADAAMAtwAAAAAD&#10;AAAAAA==&#10;">
                    <v:line id="Straight Connector 2055640658" o:spid="_x0000_s1080" style="position:absolute;flip:x;visibility:visible;mso-wrap-style:square" from="6857,27621" to="19050,2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Nv9yQAAAOMAAAAPAAAAZHJzL2Rvd25yZXYueG1sRE9NS8NA&#10;EL0L/odlBC/S7lpMlNhtkaJQvIhVKL0N2TGJzc6G7CaN/nrnIPT4eN/L9eRbNVIfm8AWbucGFHEZ&#10;XMOVhc+Pl9kDqJiQHbaBycIPRVivLi+WWLhw4ncad6lSEsKxQAt1Sl2hdSxr8hjnoSMW7iv0HpPA&#10;vtKux5OE+1YvjMm1x4alocaONjWVx93gpTd7fv3ep/txc9MejttDPoy/b4O111fT0yOoRFM6i//d&#10;W2dhYbIsvzN5JqPlk/wBvfoDAAD//wMAUEsBAi0AFAAGAAgAAAAhANvh9svuAAAAhQEAABMAAAAA&#10;AAAAAAAAAAAAAAAAAFtDb250ZW50X1R5cGVzXS54bWxQSwECLQAUAAYACAAAACEAWvQsW78AAAAV&#10;AQAACwAAAAAAAAAAAAAAAAAfAQAAX3JlbHMvLnJlbHNQSwECLQAUAAYACAAAACEAZ8jb/ckAAADj&#10;AAAADwAAAAAAAAAAAAAAAAAHAgAAZHJzL2Rvd25yZXYueG1sUEsFBgAAAAADAAMAtwAAAP0CAAAA&#10;AA==&#10;" strokecolor="blue" strokeweight="1pt">
                      <v:stroke dashstyle="longDash" joinstyle="miter"/>
                      <o:lock v:ext="edit" shapetype="f"/>
                    </v:line>
                    <v:line id="Straight Connector 122830406" o:spid="_x0000_s1081" style="position:absolute;flip:x;visibility:visible;mso-wrap-style:square" from="6857,18485" to="19050,1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EmyQAAAOIAAAAPAAAAZHJzL2Rvd25yZXYueG1sRE9da8Iw&#10;FH0f7D+EO9jLmMmqdtIZZcgE2YvoBsO3S3PXdjY3pUlr9dcvwmCPh/M9Xw62Fj21vnKs4WmkQBDn&#10;zlRcaPj8WD/OQPiAbLB2TBrO5GG5uL2ZY2bciXfU70MhYgj7DDWUITSZlD4vyaIfuYY4ct+utRgi&#10;bAtpWjzFcFvLRKlUWqw4NpTY0Kqk/LjvbOydvr3/fIXnfvVQH46bQ9r1l22n9f3d8PoCItAQ/sV/&#10;7o2J85NkNlYTlcL1UsQgF78AAAD//wMAUEsBAi0AFAAGAAgAAAAhANvh9svuAAAAhQEAABMAAAAA&#10;AAAAAAAAAAAAAAAAAFtDb250ZW50X1R5cGVzXS54bWxQSwECLQAUAAYACAAAACEAWvQsW78AAAAV&#10;AQAACwAAAAAAAAAAAAAAAAAfAQAAX3JlbHMvLnJlbHNQSwECLQAUAAYACAAAACEAB1bhJskAAADi&#10;AAAADwAAAAAAAAAAAAAAAAAHAgAAZHJzL2Rvd25yZXYueG1sUEsFBgAAAAADAAMAtwAAAP0CAAAA&#10;AA==&#10;" strokecolor="blue" strokeweight="1pt">
                      <v:stroke dashstyle="longDash" joinstyle="miter"/>
                      <o:lock v:ext="edit" shapetype="f"/>
                    </v:line>
                    <v:line id="Straight Connector 257322897" o:spid="_x0000_s1082" style="position:absolute;flip:x;visibility:visible;mso-wrap-style:square" from="6857,10775" to="19050,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2izAAAAOIAAAAPAAAAZHJzL2Rvd25yZXYueG1sRI9La8JA&#10;FIX3hf6H4Ra6KTppRKOpoxSpIN2IDxB3l8w1Sc3cCZlJTPvrO4WCy8N5fJz5sjeV6KhxpWUFr8MI&#10;BHFmdcm5guNhPZiCcB5ZY2WZFHyTg+Xi8WGOqbY33lG397kII+xSVFB4X6dSuqwgg25oa+LgXWxj&#10;0AfZ5FI3eAvjppJxFE2kwZIDocCaVgVl131rAnf88fl18km3eqnO18150nY/21ap56f+/Q2Ep97f&#10;w//tjVYQj5NRHE9nCfxdCndALn4BAAD//wMAUEsBAi0AFAAGAAgAAAAhANvh9svuAAAAhQEAABMA&#10;AAAAAAAAAAAAAAAAAAAAAFtDb250ZW50X1R5cGVzXS54bWxQSwECLQAUAAYACAAAACEAWvQsW78A&#10;AAAVAQAACwAAAAAAAAAAAAAAAAAfAQAAX3JlbHMvLnJlbHNQSwECLQAUAAYACAAAACEA0RItoswA&#10;AADiAAAADwAAAAAAAAAAAAAAAAAHAgAAZHJzL2Rvd25yZXYueG1sUEsFBgAAAAADAAMAtwAAAAAD&#10;AAAAAA==&#10;" strokecolor="blue" strokeweight="1pt">
                      <v:stroke dashstyle="longDash" joinstyle="miter"/>
                      <o:lock v:ext="edit" shapetype="f"/>
                    </v:line>
                  </v:group>
                  <v:group id="Group 1773445461" o:spid="_x0000_s1083" style="position:absolute;left:12773;top:11497;width:9732;height:8701" coordorigin="16001,14403" coordsize="12191,1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Lh6yQAAAOMAAAAPAAAAZHJzL2Rvd25yZXYueG1sRE9La8JA&#10;EL4X/A/LCL3VTWp8EF1FpC0eRKgWxNuQHZNgdjZkt0n8926h4HG+9yzXvalES40rLSuIRxEI4szq&#10;knMFP6fPtzkI55E1VpZJwZ0crFeDlyWm2nb8Te3R5yKEsEtRQeF9nUrpsoIMupGtiQN3tY1BH84m&#10;l7rBLoSbSr5H0VQaLDk0FFjTtqDsdvw1Cr467Dbj+KPd367b++U0OZz3MSn1Ouw3CxCeev8U/7t3&#10;OsyfzcZJMkmmMfz9FACQqwcAAAD//wMAUEsBAi0AFAAGAAgAAAAhANvh9svuAAAAhQEAABMAAAAA&#10;AAAAAAAAAAAAAAAAAFtDb250ZW50X1R5cGVzXS54bWxQSwECLQAUAAYACAAAACEAWvQsW78AAAAV&#10;AQAACwAAAAAAAAAAAAAAAAAfAQAAX3JlbHMvLnJlbHNQSwECLQAUAAYACAAAACEA97S4eskAAADj&#10;AAAADwAAAAAAAAAAAAAAAAAHAgAAZHJzL2Rvd25yZXYueG1sUEsFBgAAAAADAAMAtwAAAP0CAAAA&#10;AA==&#10;">
                    <v:line id="Straight Connector 1169924352" o:spid="_x0000_s1084" style="position:absolute;flip:x;visibility:visible;mso-wrap-style:square" from="16001,14403" to="28193,1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zgAAAOMAAAAPAAAAZHJzL2Rvd25yZXYueG1sRI9BS8NA&#10;EIXvgv9hGaEXsZvGNtrYbSlFofQipgXpbciOSWx2NmQ3aeyvd4WCx5n35n1vFqvB1KKn1lWWFUzG&#10;EQji3OqKCwWH/dvDMwjnkTXWlknBDzlYLW9vFphqe+YP6jNfiBDCLkUFpfdNKqXLSzLoxrYhDtqX&#10;bQ36MLaF1C2eQ7ipZRxFiTRYcSCU2NCmpPyUdSZwZ6+770//1G/u6+Npe0y6/vLeKTW6G9YvIDwN&#10;/t98vd7qUH+SzOfx9HEWw99PYQFy+QsAAP//AwBQSwECLQAUAAYACAAAACEA2+H2y+4AAACFAQAA&#10;EwAAAAAAAAAAAAAAAAAAAAAAW0NvbnRlbnRfVHlwZXNdLnhtbFBLAQItABQABgAIAAAAIQBa9Cxb&#10;vwAAABUBAAALAAAAAAAAAAAAAAAAAB8BAABfcmVscy8ucmVsc1BLAQItABQABgAIAAAAIQA/N/Yt&#10;zgAAAOMAAAAPAAAAAAAAAAAAAAAAAAcCAABkcnMvZG93bnJldi54bWxQSwUGAAAAAAMAAwC3AAAA&#10;AgMAAAAA&#10;" strokecolor="blue" strokeweight="1pt">
                      <v:stroke dashstyle="longDash" joinstyle="miter"/>
                      <o:lock v:ext="edit" shapetype="f"/>
                    </v:line>
                    <v:line id="Straight Connector 1761453634" o:spid="_x0000_s1085" style="position:absolute;flip:x;visibility:visible;mso-wrap-style:square" from="16001,25303" to="28193,2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kBzQAAAOMAAAAPAAAAZHJzL2Rvd25yZXYueG1sRI9Pa8JA&#10;EMXvgt9hmYIX0Y3/oqSuItKC9FJqBfE2ZKdJanY2ZDcx+um7hUKPM+/N+71ZbztTipZqV1hWMBlH&#10;IIhTqwvOFJw+X0crEM4jaywtk4I7Odhu+r01Jtre+IPao89ECGGXoILc+yqR0qU5GXRjWxEH7cvW&#10;Bn0Y60zqGm8h3JRyGkWxNFhwIORY0T6n9HpsTOAuXt6+z37Z7ofl5Xq4xE37eG+UGjx1u2cQnjr/&#10;b/67PuhQfxlP5otZPJvD709hAXLzAwAA//8DAFBLAQItABQABgAIAAAAIQDb4fbL7gAAAIUBAAAT&#10;AAAAAAAAAAAAAAAAAAAAAABbQ29udGVudF9UeXBlc10ueG1sUEsBAi0AFAAGAAgAAAAhAFr0LFu/&#10;AAAAFQEAAAsAAAAAAAAAAAAAAAAAHwEAAF9yZWxzLy5yZWxzUEsBAi0AFAAGAAgAAAAhAMtEuQHN&#10;AAAA4wAAAA8AAAAAAAAAAAAAAAAABwIAAGRycy9kb3ducmV2LnhtbFBLBQYAAAAAAwADALcAAAAB&#10;AwAAAAA=&#10;" strokecolor="blue" strokeweight="1pt">
                      <v:stroke dashstyle="longDash" joinstyle="miter"/>
                      <o:lock v:ext="edit" shapetype="f"/>
                    </v:line>
                  </v:group>
                </v:group>
                <w10:anchorlock/>
              </v:group>
            </w:pict>
          </mc:Fallback>
        </mc:AlternateContent>
      </w:r>
    </w:p>
    <w:p w14:paraId="18495D9B" w14:textId="77777777" w:rsidR="000B47C0" w:rsidRPr="00746F54" w:rsidRDefault="000B47C0" w:rsidP="000B47C0">
      <w:pPr>
        <w:pStyle w:val="Caption"/>
        <w:rPr>
          <w:rFonts w:ascii="Arial" w:hAnsi="Arial" w:cs="Arial"/>
        </w:rPr>
      </w:pPr>
      <w:bookmarkStart w:id="66" w:name="_Ref179360370"/>
      <w:bookmarkStart w:id="67" w:name="_Toc179360389"/>
      <w:r w:rsidRPr="00746F54">
        <w:rPr>
          <w:rFonts w:ascii="Arial" w:hAnsi="Arial" w:cs="Arial"/>
        </w:rPr>
        <w:t>Figure 17.</w:t>
      </w:r>
      <w:r w:rsidRPr="00746F54">
        <w:rPr>
          <w:rFonts w:ascii="Arial" w:hAnsi="Arial" w:cs="Arial"/>
        </w:rPr>
        <w:fldChar w:fldCharType="begin"/>
      </w:r>
      <w:r w:rsidRPr="00746F54">
        <w:rPr>
          <w:rFonts w:ascii="Arial" w:hAnsi="Arial" w:cs="Arial"/>
        </w:rPr>
        <w:instrText xml:space="preserve"> SEQ Figure \* ARABIC </w:instrText>
      </w:r>
      <w:r w:rsidRPr="00746F54">
        <w:rPr>
          <w:rFonts w:ascii="Arial" w:hAnsi="Arial" w:cs="Arial"/>
        </w:rPr>
        <w:fldChar w:fldCharType="separate"/>
      </w:r>
      <w:r w:rsidRPr="00746F54">
        <w:rPr>
          <w:rFonts w:ascii="Arial" w:hAnsi="Arial" w:cs="Arial"/>
          <w:noProof/>
        </w:rPr>
        <w:t>2</w:t>
      </w:r>
      <w:r w:rsidRPr="00746F54">
        <w:rPr>
          <w:rFonts w:ascii="Arial" w:hAnsi="Arial" w:cs="Arial"/>
        </w:rPr>
        <w:fldChar w:fldCharType="end"/>
      </w:r>
      <w:bookmarkEnd w:id="66"/>
      <w:r w:rsidRPr="00746F54">
        <w:rPr>
          <w:rFonts w:ascii="Arial" w:hAnsi="Arial" w:cs="Arial"/>
        </w:rPr>
        <w:t>. Released transfer capacity matching for Type 2 TSRs</w:t>
      </w:r>
      <w:bookmarkEnd w:id="67"/>
    </w:p>
    <w:p w14:paraId="5198B98E" w14:textId="77777777" w:rsidR="000B47C0" w:rsidRPr="00746F54" w:rsidRDefault="000B47C0" w:rsidP="000B47C0">
      <w:pPr>
        <w:pStyle w:val="Paragraph"/>
        <w:rPr>
          <w:rFonts w:ascii="Arial" w:hAnsi="Arial" w:cs="Arial"/>
          <w:sz w:val="22"/>
        </w:rPr>
      </w:pPr>
      <w:r w:rsidRPr="00746F54">
        <w:rPr>
          <w:rFonts w:ascii="Arial" w:hAnsi="Arial" w:cs="Arial"/>
          <w:sz w:val="22"/>
        </w:rPr>
        <w:t>The example shows matching released transfer capacity between TSSCs at a transfer location pair between two BAAs. The method will work the same way with released capacity by TCSCs at other transfer locations at the same intertie where one or both BAAs may be different. However, the TCSCs must apportion their released capacity across these transfer location pairs since the SIBR matching method works with different distinct released capacity for each such pair.</w:t>
      </w:r>
    </w:p>
    <w:p w14:paraId="6B1369E7" w14:textId="77777777" w:rsidR="000B47C0" w:rsidRPr="00746F54" w:rsidRDefault="000B47C0" w:rsidP="000B47C0">
      <w:pPr>
        <w:pStyle w:val="Paragraph"/>
        <w:rPr>
          <w:rFonts w:ascii="Arial" w:hAnsi="Arial" w:cs="Arial"/>
          <w:sz w:val="22"/>
        </w:rPr>
      </w:pPr>
      <w:r w:rsidRPr="00746F54">
        <w:rPr>
          <w:rFonts w:ascii="Arial" w:hAnsi="Arial" w:cs="Arial"/>
          <w:sz w:val="22"/>
        </w:rPr>
        <w:t>For Type 2 TSR definition with CISO at a CISO transfer location, which is also a CISO Scheduling Point, SIBR will match the released capacity by TCSCs on the EDAM BAA side with new firm use transmission capacity that CISO has released at that Scheduling Point. All TSRs (all types) and all import/export resources at that Scheduling Point will be constrained by the applicable intertie scheduling limits (ISL/ITC) for that Scheduling Point.</w:t>
      </w:r>
    </w:p>
    <w:p w14:paraId="62D2C3A5" w14:textId="77777777" w:rsidR="000B47C0" w:rsidRPr="00746F54" w:rsidRDefault="000B47C0" w:rsidP="000B47C0">
      <w:pPr>
        <w:pStyle w:val="Paragraph"/>
        <w:rPr>
          <w:rFonts w:ascii="Arial" w:hAnsi="Arial" w:cs="Arial"/>
          <w:sz w:val="22"/>
        </w:rPr>
      </w:pPr>
    </w:p>
    <w:p w14:paraId="3A714831" w14:textId="77777777" w:rsidR="000B47C0" w:rsidRPr="00746F54" w:rsidRDefault="000B47C0" w:rsidP="00947B7F">
      <w:pPr>
        <w:pStyle w:val="Heading3"/>
        <w:rPr>
          <w:rFonts w:ascii="Arial" w:hAnsi="Arial" w:cs="Arial"/>
        </w:rPr>
      </w:pPr>
      <w:bookmarkStart w:id="68" w:name="_Toc209781118"/>
      <w:bookmarkStart w:id="69" w:name="_Toc191646291"/>
      <w:bookmarkStart w:id="70" w:name="_Toc211337882"/>
      <w:bookmarkEnd w:id="68"/>
      <w:r w:rsidRPr="00746F54">
        <w:rPr>
          <w:rFonts w:ascii="Arial" w:hAnsi="Arial" w:cs="Arial"/>
        </w:rPr>
        <w:t>TSR Bids and Validation</w:t>
      </w:r>
      <w:bookmarkEnd w:id="69"/>
      <w:bookmarkEnd w:id="70"/>
    </w:p>
    <w:p w14:paraId="26EB4868" w14:textId="51DF949B" w:rsidR="000B47C0" w:rsidRPr="00746F54" w:rsidRDefault="000B47C0" w:rsidP="000B47C0">
      <w:pPr>
        <w:pStyle w:val="Paragraph"/>
        <w:rPr>
          <w:rFonts w:ascii="Arial" w:hAnsi="Arial" w:cs="Arial"/>
          <w:sz w:val="22"/>
        </w:rPr>
      </w:pPr>
      <w:r w:rsidRPr="00746F54">
        <w:rPr>
          <w:rFonts w:ascii="Arial" w:hAnsi="Arial" w:cs="Arial"/>
          <w:sz w:val="22"/>
        </w:rPr>
        <w:t>Except for Type 2 TSRs defined by SIBR, bids can be submitted for valid TSRs (either registered in the Master File or successfully defined in SIBR by TCSCs). A TSR bid must specify the unique TSR ID and will only be accepted if submitted by the associated SC.</w:t>
      </w:r>
    </w:p>
    <w:p w14:paraId="2B4597FF" w14:textId="77777777" w:rsidR="000B47C0" w:rsidRPr="00746F54" w:rsidRDefault="000B47C0" w:rsidP="000B47C0">
      <w:pPr>
        <w:pStyle w:val="Paragraph"/>
        <w:rPr>
          <w:rFonts w:ascii="Arial" w:hAnsi="Arial" w:cs="Arial"/>
          <w:sz w:val="22"/>
        </w:rPr>
      </w:pPr>
    </w:p>
    <w:p w14:paraId="27E4DFCA" w14:textId="77777777" w:rsidR="000B47C0" w:rsidRPr="00746F54" w:rsidRDefault="000B47C0" w:rsidP="00947B7F">
      <w:pPr>
        <w:pStyle w:val="Heading4"/>
        <w:rPr>
          <w:rFonts w:ascii="Arial" w:hAnsi="Arial" w:cs="Arial"/>
        </w:rPr>
      </w:pPr>
      <w:bookmarkStart w:id="71" w:name="_Toc191646292"/>
      <w:r w:rsidRPr="00746F54">
        <w:rPr>
          <w:rFonts w:ascii="Arial" w:hAnsi="Arial" w:cs="Arial"/>
        </w:rPr>
        <w:t>Type 1 TSR Bid and Validation</w:t>
      </w:r>
      <w:bookmarkEnd w:id="71"/>
    </w:p>
    <w:p w14:paraId="126A0D2C" w14:textId="0954E08B" w:rsidR="000B47C0" w:rsidRPr="00746F54" w:rsidRDefault="000B47C0" w:rsidP="000B47C0">
      <w:pPr>
        <w:pStyle w:val="Paragraph"/>
        <w:rPr>
          <w:rFonts w:ascii="Arial" w:hAnsi="Arial" w:cs="Arial"/>
          <w:sz w:val="22"/>
        </w:rPr>
      </w:pPr>
      <w:r w:rsidRPr="00746F54">
        <w:rPr>
          <w:rFonts w:ascii="Arial" w:hAnsi="Arial" w:cs="Arial"/>
          <w:sz w:val="22"/>
        </w:rPr>
        <w:t>A Type 1 TSR bid must specify an energy self-schedule does not exceed the TSR Maximum Capacity. If the latter is derated by the EESC before 9:00am, SIBR will reduce the self-schedule accordingly. SIBR may also reduce the self-schedule to match a lower self-schedule submitted for the matching TSR.</w:t>
      </w:r>
    </w:p>
    <w:p w14:paraId="0987FAB9" w14:textId="77777777" w:rsidR="000B47C0" w:rsidRPr="00746F54" w:rsidRDefault="000B47C0" w:rsidP="000B47C0">
      <w:pPr>
        <w:pStyle w:val="Paragraph"/>
        <w:rPr>
          <w:rFonts w:ascii="Arial" w:hAnsi="Arial" w:cs="Arial"/>
          <w:sz w:val="22"/>
        </w:rPr>
      </w:pPr>
      <w:r w:rsidRPr="00746F54">
        <w:rPr>
          <w:rFonts w:ascii="Arial" w:hAnsi="Arial" w:cs="Arial"/>
          <w:sz w:val="22"/>
        </w:rPr>
        <w:t>SIBR will validate that all self-schedules for supply/demand resources and TSRs under a CRN are balanced and within the corresponding entitlement. This validation will be performed by CRN in each EDAM BAA. On successful validation, SIBR will set the Priority Indicator for the CRN to “Y”, so that the IFM provides the CRN scheduling priority to the associated self-schedules. Otherwise, SIBR will set the Priority Indicator for the CRN to “N</w:t>
      </w:r>
      <w:proofErr w:type="gramStart"/>
      <w:r w:rsidRPr="00746F54">
        <w:rPr>
          <w:rFonts w:ascii="Arial" w:hAnsi="Arial" w:cs="Arial"/>
          <w:sz w:val="22"/>
        </w:rPr>
        <w:t>”</w:t>
      </w:r>
      <w:proofErr w:type="gramEnd"/>
      <w:r w:rsidRPr="00746F54">
        <w:rPr>
          <w:rFonts w:ascii="Arial" w:hAnsi="Arial" w:cs="Arial"/>
          <w:sz w:val="22"/>
        </w:rPr>
        <w:t xml:space="preserve"> and the associated self-schedules will only have normal price-taker scheduling priority in the IFM. Nevertheless, these self-schedules will still maintain their financial </w:t>
      </w:r>
      <w:proofErr w:type="gramStart"/>
      <w:r w:rsidRPr="00746F54">
        <w:rPr>
          <w:rFonts w:ascii="Arial" w:hAnsi="Arial" w:cs="Arial"/>
          <w:sz w:val="22"/>
        </w:rPr>
        <w:t>right</w:t>
      </w:r>
      <w:proofErr w:type="gramEnd"/>
      <w:r w:rsidRPr="00746F54">
        <w:rPr>
          <w:rFonts w:ascii="Arial" w:hAnsi="Arial" w:cs="Arial"/>
          <w:sz w:val="22"/>
        </w:rPr>
        <w:t xml:space="preserve"> in settlement, as afforded by the CRN, for their balanced portions within the CRN entitlement. Failure of CRN validation does not affect the RSE eligibility of Type 1 TSRs.</w:t>
      </w:r>
    </w:p>
    <w:p w14:paraId="40AA455A" w14:textId="77777777" w:rsidR="000B47C0" w:rsidRPr="00746F54" w:rsidRDefault="000B47C0" w:rsidP="000B47C0">
      <w:pPr>
        <w:pStyle w:val="Paragraph"/>
        <w:rPr>
          <w:rFonts w:ascii="Arial" w:hAnsi="Arial" w:cs="Arial"/>
          <w:sz w:val="22"/>
        </w:rPr>
      </w:pPr>
      <w:r w:rsidRPr="00746F54">
        <w:rPr>
          <w:rFonts w:ascii="Arial" w:hAnsi="Arial" w:cs="Arial"/>
          <w:sz w:val="22"/>
        </w:rPr>
        <w:t>The keyword “NONE” may be specified as a CRN to indicate lack of a CRN on that side of a transfer to support Type 1 transfers where transmission rights do not extend past the transfer location, but they are exercised only to the transfer location. The TSR self-schedule with a CRN of “NONE” will receive a regular price-taker scheduling priority and it will not be subject to the CRN balancing or entitlement test.</w:t>
      </w:r>
    </w:p>
    <w:p w14:paraId="5F3365BC" w14:textId="77777777" w:rsidR="000B47C0" w:rsidRPr="00746F54" w:rsidRDefault="000B47C0" w:rsidP="000B47C0">
      <w:pPr>
        <w:pStyle w:val="Paragraph"/>
        <w:rPr>
          <w:rFonts w:ascii="Arial" w:hAnsi="Arial" w:cs="Arial"/>
          <w:sz w:val="22"/>
        </w:rPr>
      </w:pPr>
    </w:p>
    <w:p w14:paraId="51D2C78B" w14:textId="77777777" w:rsidR="000B47C0" w:rsidRPr="00746F54" w:rsidRDefault="000B47C0" w:rsidP="00636D40">
      <w:pPr>
        <w:pStyle w:val="Heading4"/>
        <w:rPr>
          <w:rFonts w:ascii="Arial" w:hAnsi="Arial" w:cs="Arial"/>
        </w:rPr>
      </w:pPr>
      <w:bookmarkStart w:id="72" w:name="_Toc191646293"/>
      <w:r w:rsidRPr="00746F54">
        <w:rPr>
          <w:rFonts w:ascii="Arial" w:hAnsi="Arial" w:cs="Arial"/>
        </w:rPr>
        <w:t>Type 2 TSR Bid and Validation</w:t>
      </w:r>
      <w:bookmarkEnd w:id="72"/>
    </w:p>
    <w:p w14:paraId="1E3E0F11" w14:textId="1836ECFF" w:rsidR="000B47C0" w:rsidRPr="00746F54" w:rsidRDefault="000B47C0" w:rsidP="000B47C0">
      <w:pPr>
        <w:pStyle w:val="Paragraph"/>
        <w:rPr>
          <w:rFonts w:ascii="Arial" w:hAnsi="Arial" w:cs="Arial"/>
          <w:sz w:val="22"/>
        </w:rPr>
      </w:pPr>
      <w:r w:rsidRPr="00746F54">
        <w:rPr>
          <w:rFonts w:ascii="Arial" w:hAnsi="Arial" w:cs="Arial"/>
          <w:sz w:val="22"/>
        </w:rPr>
        <w:t>SIBR will accept Type 2 TSR bids only for TSRs that are registered in the Master File. Type 2 TSR bids must specify a Capacity Limit that does not exceed the TSR Maximum Capacity. If the latter is derated by the EESC before 9:00am, SIBR will reduce the Capacity Limit accordingly. SIBR may also reduce the Capacity Limit to match a lower Capacity Limit submitted for the matching TSR. The transfer capacity under the Capacity Limit is released to EDAM for optimal scheduling in the IFM and RUC.</w:t>
      </w:r>
    </w:p>
    <w:p w14:paraId="4DD4C469" w14:textId="77777777" w:rsidR="000B47C0" w:rsidRPr="00746F54" w:rsidRDefault="000B47C0" w:rsidP="000B47C0">
      <w:pPr>
        <w:pStyle w:val="Paragraph"/>
        <w:rPr>
          <w:rFonts w:ascii="Arial" w:hAnsi="Arial" w:cs="Arial"/>
          <w:sz w:val="22"/>
        </w:rPr>
      </w:pPr>
    </w:p>
    <w:p w14:paraId="767FC3B0" w14:textId="77777777" w:rsidR="000B47C0" w:rsidRPr="00746F54" w:rsidRDefault="000B47C0" w:rsidP="00636D40">
      <w:pPr>
        <w:pStyle w:val="Heading4"/>
        <w:rPr>
          <w:rFonts w:ascii="Arial" w:hAnsi="Arial" w:cs="Arial"/>
        </w:rPr>
      </w:pPr>
      <w:bookmarkStart w:id="73" w:name="_Toc191646294"/>
      <w:r w:rsidRPr="00746F54">
        <w:rPr>
          <w:rFonts w:ascii="Arial" w:hAnsi="Arial" w:cs="Arial"/>
        </w:rPr>
        <w:t>Type 3 TSR Bid and Validation</w:t>
      </w:r>
      <w:bookmarkEnd w:id="73"/>
    </w:p>
    <w:p w14:paraId="7CC9239D" w14:textId="21F90F3E" w:rsidR="000B47C0" w:rsidRPr="00746F54" w:rsidRDefault="000B47C0" w:rsidP="000B47C0">
      <w:pPr>
        <w:pStyle w:val="Paragraph"/>
        <w:rPr>
          <w:rFonts w:ascii="Arial" w:hAnsi="Arial" w:cs="Arial"/>
          <w:sz w:val="22"/>
        </w:rPr>
      </w:pPr>
      <w:r w:rsidRPr="00746F54">
        <w:rPr>
          <w:rFonts w:ascii="Arial" w:hAnsi="Arial" w:cs="Arial"/>
          <w:sz w:val="22"/>
        </w:rPr>
        <w:t xml:space="preserve">Type 3 TSR bids must specify a Capacity Limit that does not exceed the TSR Maximum Capacity. They may also specify ancillary services self-provision for regulation up (RU), regulation down (RD), spinning reserve (SR), or non-spinning reserve (NR), with a total capacity that is not greater than the Capacity Limit. If the TSR Maximum Capacity is derated by the </w:t>
      </w:r>
      <w:r w:rsidRPr="00746F54">
        <w:rPr>
          <w:rFonts w:ascii="Arial" w:hAnsi="Arial" w:cs="Arial"/>
          <w:sz w:val="22"/>
        </w:rPr>
        <w:lastRenderedPageBreak/>
        <w:t>EESC before 9:00am, SIBR will reduce the Capacity Limit accordingly. SIBR may also reduce the Capacity Limit to match a lower Capacity Limit submitted for the matching TSR. If the Capacity Limit is reduced, SIBR will reduce any ancillary services self-provision as well. Any remaining transfer capacity between the Capacity Limit and the total ancillary services self-provision is released to EDAM for optimal scheduling in the IFM and RUC.</w:t>
      </w:r>
    </w:p>
    <w:p w14:paraId="4B684B6D" w14:textId="77777777" w:rsidR="000B47C0" w:rsidRPr="00746F54" w:rsidRDefault="000B47C0" w:rsidP="000B47C0">
      <w:pPr>
        <w:pStyle w:val="Paragraph"/>
        <w:rPr>
          <w:rFonts w:ascii="Arial" w:hAnsi="Arial" w:cs="Arial"/>
          <w:sz w:val="22"/>
        </w:rPr>
      </w:pPr>
    </w:p>
    <w:p w14:paraId="7B226524" w14:textId="77777777" w:rsidR="000B47C0" w:rsidRPr="00746F54" w:rsidRDefault="000B47C0" w:rsidP="00636D40">
      <w:pPr>
        <w:pStyle w:val="Heading4"/>
        <w:rPr>
          <w:rFonts w:ascii="Arial" w:hAnsi="Arial" w:cs="Arial"/>
        </w:rPr>
      </w:pPr>
      <w:bookmarkStart w:id="74" w:name="_Toc191646295"/>
      <w:r w:rsidRPr="00746F54">
        <w:rPr>
          <w:rFonts w:ascii="Arial" w:hAnsi="Arial" w:cs="Arial"/>
        </w:rPr>
        <w:t>Type 4 TSR Bid and Validation</w:t>
      </w:r>
      <w:bookmarkEnd w:id="74"/>
    </w:p>
    <w:p w14:paraId="718F2065" w14:textId="77CD4B96" w:rsidR="000B47C0" w:rsidRPr="00746F54" w:rsidRDefault="000B47C0" w:rsidP="000B47C0">
      <w:pPr>
        <w:pStyle w:val="Paragraph"/>
        <w:rPr>
          <w:rFonts w:ascii="Arial" w:hAnsi="Arial" w:cs="Arial"/>
          <w:sz w:val="22"/>
        </w:rPr>
      </w:pPr>
      <w:r w:rsidRPr="00746F54">
        <w:rPr>
          <w:rFonts w:ascii="Arial" w:hAnsi="Arial" w:cs="Arial"/>
          <w:sz w:val="22"/>
        </w:rPr>
        <w:t>Type 4 TSR bids must specify a Capacity Limit that does not exceed the TSR Maximum Capacity. If the TSR Maximum Capacity is derated by the EESC before 9:00am, SIBR will reduce the Capacity Limit accordingly. SIBR may also reduce the Capacity Limit to match a lower Capacity Limit submitted for the matching TSR. The transfer capacity under the Capacity Limit is released to EDAM for optimal scheduling in the IFM and RUC.</w:t>
      </w:r>
    </w:p>
    <w:p w14:paraId="1ADAA886" w14:textId="77777777" w:rsidR="000B47C0" w:rsidRPr="00746F54" w:rsidRDefault="000B47C0" w:rsidP="000B47C0">
      <w:pPr>
        <w:pStyle w:val="Paragraph"/>
        <w:rPr>
          <w:rFonts w:ascii="Arial" w:hAnsi="Arial" w:cs="Arial"/>
          <w:sz w:val="22"/>
        </w:rPr>
      </w:pPr>
    </w:p>
    <w:p w14:paraId="517FCA76" w14:textId="77777777" w:rsidR="000B47C0" w:rsidRPr="00746F54" w:rsidRDefault="000B47C0" w:rsidP="00636D40">
      <w:pPr>
        <w:pStyle w:val="Heading3"/>
        <w:rPr>
          <w:rFonts w:ascii="Arial" w:hAnsi="Arial" w:cs="Arial"/>
        </w:rPr>
      </w:pPr>
      <w:bookmarkStart w:id="75" w:name="_Toc191646296"/>
      <w:bookmarkStart w:id="76" w:name="_Toc211337883"/>
      <w:r w:rsidRPr="00746F54">
        <w:rPr>
          <w:rFonts w:ascii="Arial" w:hAnsi="Arial" w:cs="Arial"/>
        </w:rPr>
        <w:t>TSR Schedules and Awards</w:t>
      </w:r>
      <w:bookmarkEnd w:id="75"/>
      <w:bookmarkEnd w:id="76"/>
    </w:p>
    <w:p w14:paraId="2E86EA09" w14:textId="19D9A8C3" w:rsidR="000B47C0" w:rsidRPr="00746F54" w:rsidRDefault="000B47C0" w:rsidP="000B47C0">
      <w:pPr>
        <w:pStyle w:val="Paragraph"/>
        <w:rPr>
          <w:rFonts w:ascii="Arial" w:hAnsi="Arial" w:cs="Arial"/>
          <w:sz w:val="22"/>
        </w:rPr>
      </w:pPr>
      <w:r w:rsidRPr="00746F54">
        <w:rPr>
          <w:rFonts w:ascii="Arial" w:hAnsi="Arial" w:cs="Arial"/>
          <w:sz w:val="22"/>
        </w:rPr>
        <w:t>SIBR will publish the valid TSR bids in the Clean Bids at 10:00am. These bids will be used to schedule the TSRs in the IFM and RUC. Depending on the TSR type, a TSR may have the following schedules and awards:</w:t>
      </w:r>
    </w:p>
    <w:p w14:paraId="08CD1498" w14:textId="77777777" w:rsidR="000B47C0" w:rsidRPr="00746F54" w:rsidRDefault="000B47C0" w:rsidP="000B47C0">
      <w:pPr>
        <w:pStyle w:val="Paragraph"/>
        <w:numPr>
          <w:ilvl w:val="0"/>
          <w:numId w:val="60"/>
        </w:numPr>
        <w:spacing w:line="240" w:lineRule="auto"/>
        <w:jc w:val="both"/>
        <w:rPr>
          <w:rFonts w:ascii="Arial" w:hAnsi="Arial" w:cs="Arial"/>
          <w:sz w:val="22"/>
        </w:rPr>
      </w:pPr>
      <w:r w:rsidRPr="00746F54">
        <w:rPr>
          <w:rFonts w:ascii="Arial" w:hAnsi="Arial" w:cs="Arial"/>
          <w:sz w:val="22"/>
        </w:rPr>
        <w:t>Energy schedule (EN) from IFM (all TSR Types).</w:t>
      </w:r>
    </w:p>
    <w:p w14:paraId="3E9BBCF9" w14:textId="77777777" w:rsidR="000B47C0" w:rsidRPr="00746F54" w:rsidRDefault="000B47C0" w:rsidP="000B47C0">
      <w:pPr>
        <w:pStyle w:val="Paragraph"/>
        <w:numPr>
          <w:ilvl w:val="0"/>
          <w:numId w:val="60"/>
        </w:numPr>
        <w:spacing w:line="240" w:lineRule="auto"/>
        <w:jc w:val="both"/>
        <w:rPr>
          <w:rFonts w:ascii="Arial" w:hAnsi="Arial" w:cs="Arial"/>
          <w:sz w:val="22"/>
        </w:rPr>
      </w:pPr>
      <w:r w:rsidRPr="00746F54">
        <w:rPr>
          <w:rFonts w:ascii="Arial" w:hAnsi="Arial" w:cs="Arial"/>
          <w:sz w:val="22"/>
        </w:rPr>
        <w:t>Ancillary services awards (RU/RD/SR/NR) from IFM (TSR Type 3).</w:t>
      </w:r>
    </w:p>
    <w:p w14:paraId="77AD674F" w14:textId="77777777" w:rsidR="000B47C0" w:rsidRPr="00746F54" w:rsidRDefault="000B47C0" w:rsidP="000B47C0">
      <w:pPr>
        <w:pStyle w:val="Paragraph"/>
        <w:numPr>
          <w:ilvl w:val="0"/>
          <w:numId w:val="60"/>
        </w:numPr>
        <w:spacing w:line="240" w:lineRule="auto"/>
        <w:jc w:val="both"/>
        <w:rPr>
          <w:rFonts w:ascii="Arial" w:hAnsi="Arial" w:cs="Arial"/>
          <w:sz w:val="22"/>
        </w:rPr>
      </w:pPr>
      <w:r w:rsidRPr="00746F54">
        <w:rPr>
          <w:rFonts w:ascii="Arial" w:hAnsi="Arial" w:cs="Arial"/>
          <w:sz w:val="22"/>
        </w:rPr>
        <w:t>Imbalance reserve up/down awards (IRU/IRD) from IFM (TSR Type 2-4).</w:t>
      </w:r>
    </w:p>
    <w:p w14:paraId="52612D25" w14:textId="77777777" w:rsidR="000B47C0" w:rsidRPr="00746F54" w:rsidRDefault="000B47C0" w:rsidP="000B47C0">
      <w:pPr>
        <w:pStyle w:val="Paragraph"/>
        <w:numPr>
          <w:ilvl w:val="0"/>
          <w:numId w:val="60"/>
        </w:numPr>
        <w:spacing w:line="240" w:lineRule="auto"/>
        <w:jc w:val="both"/>
        <w:rPr>
          <w:rFonts w:ascii="Arial" w:hAnsi="Arial" w:cs="Arial"/>
          <w:sz w:val="22"/>
        </w:rPr>
      </w:pPr>
      <w:r w:rsidRPr="00746F54">
        <w:rPr>
          <w:rFonts w:ascii="Arial" w:hAnsi="Arial" w:cs="Arial"/>
          <w:sz w:val="22"/>
        </w:rPr>
        <w:t>Reliability Capacity up award (RCU) from RUC (TSR Type 2-4).</w:t>
      </w:r>
    </w:p>
    <w:p w14:paraId="0D95D1D7" w14:textId="24ADE7E6" w:rsidR="000B47C0" w:rsidRPr="00746F54" w:rsidRDefault="000B47C0" w:rsidP="000B47C0">
      <w:pPr>
        <w:pStyle w:val="Paragraph"/>
        <w:rPr>
          <w:rFonts w:ascii="Arial" w:hAnsi="Arial" w:cs="Arial"/>
          <w:sz w:val="22"/>
        </w:rPr>
      </w:pPr>
      <w:r w:rsidRPr="00746F54">
        <w:rPr>
          <w:rFonts w:ascii="Arial" w:hAnsi="Arial" w:cs="Arial"/>
          <w:sz w:val="22"/>
        </w:rPr>
        <w:t xml:space="preserve">All DAM schedules and awards are rolled over to RTM. No TSR bids are submitted in RTM, except for Type 1 TSRs that must be rebid to re-affirm the exercise of CRNs via self-scheduling, subject to entitlement validation. SIBR generates TSR bids with the DAM schedules (as self-schedules) and DAM awards. DA TSR schedules and awards are not optimized in the RTM, but they may be reduced for derates in the TSR Maximum Capacity submitted to SIBR prior to T-75 by EESCs. The reduced DAM schedules and awards are published by SIBR for transfer revenue deviation settlement. </w:t>
      </w:r>
    </w:p>
    <w:p w14:paraId="479FDC8D" w14:textId="77777777" w:rsidR="000B47C0" w:rsidRPr="00746F54" w:rsidRDefault="000B47C0" w:rsidP="000B47C0">
      <w:pPr>
        <w:pStyle w:val="Paragraph"/>
        <w:rPr>
          <w:rFonts w:ascii="Arial" w:hAnsi="Arial" w:cs="Arial"/>
          <w:sz w:val="22"/>
        </w:rPr>
      </w:pPr>
      <w:r w:rsidRPr="00746F54">
        <w:rPr>
          <w:rFonts w:ascii="Arial" w:hAnsi="Arial" w:cs="Arial"/>
          <w:sz w:val="22"/>
        </w:rPr>
        <w:t>EESCs should release and reserve transfer capacity for dynamic transfers in RTM to allow for counter flow of DAM energy transfers and the dispatch of ancillary services, IRU/IRD, and RCU transfers at the minimum:</w:t>
      </w:r>
    </w:p>
    <w:p w14:paraId="5ADCF6F2" w14:textId="77777777" w:rsidR="000B47C0" w:rsidRPr="00746F54" w:rsidRDefault="000B47C0" w:rsidP="000B47C0">
      <w:pPr>
        <w:pStyle w:val="Paragraph"/>
        <w:numPr>
          <w:ilvl w:val="0"/>
          <w:numId w:val="62"/>
        </w:numPr>
        <w:spacing w:line="240" w:lineRule="auto"/>
        <w:jc w:val="both"/>
        <w:rPr>
          <w:rFonts w:ascii="Arial" w:hAnsi="Arial" w:cs="Arial"/>
          <w:sz w:val="22"/>
        </w:rPr>
      </w:pPr>
      <w:r w:rsidRPr="00746F54">
        <w:rPr>
          <w:rFonts w:ascii="Arial" w:hAnsi="Arial" w:cs="Arial"/>
          <w:sz w:val="22"/>
        </w:rPr>
        <w:t>Dynamic transfer for EN and IRD in the opposite direction.</w:t>
      </w:r>
    </w:p>
    <w:p w14:paraId="69FA8711" w14:textId="77777777" w:rsidR="000B47C0" w:rsidRPr="00746F54" w:rsidRDefault="000B47C0" w:rsidP="000B47C0">
      <w:pPr>
        <w:pStyle w:val="Paragraph"/>
        <w:numPr>
          <w:ilvl w:val="0"/>
          <w:numId w:val="62"/>
        </w:numPr>
        <w:spacing w:line="240" w:lineRule="auto"/>
        <w:jc w:val="both"/>
        <w:rPr>
          <w:rFonts w:ascii="Arial" w:hAnsi="Arial" w:cs="Arial"/>
          <w:sz w:val="22"/>
        </w:rPr>
      </w:pPr>
      <w:r w:rsidRPr="00746F54">
        <w:rPr>
          <w:rFonts w:ascii="Arial" w:hAnsi="Arial" w:cs="Arial"/>
          <w:sz w:val="22"/>
        </w:rPr>
        <w:t>Dynamic transfer for IRU and RCU in the same direction.</w:t>
      </w:r>
    </w:p>
    <w:p w14:paraId="4B1C7942" w14:textId="77777777" w:rsidR="000B47C0" w:rsidRPr="00746F54" w:rsidRDefault="000B47C0" w:rsidP="000B47C0">
      <w:pPr>
        <w:pStyle w:val="Paragraph"/>
        <w:numPr>
          <w:ilvl w:val="0"/>
          <w:numId w:val="62"/>
        </w:numPr>
        <w:spacing w:line="240" w:lineRule="auto"/>
        <w:jc w:val="both"/>
        <w:rPr>
          <w:rFonts w:ascii="Arial" w:hAnsi="Arial" w:cs="Arial"/>
          <w:sz w:val="22"/>
        </w:rPr>
      </w:pPr>
      <w:r w:rsidRPr="00746F54">
        <w:rPr>
          <w:rFonts w:ascii="Arial" w:hAnsi="Arial" w:cs="Arial"/>
          <w:sz w:val="22"/>
        </w:rPr>
        <w:t>Dynamic transfer for SR and NR in the same direction with zero scheduling limit (dispatched manually under contingency),</w:t>
      </w:r>
    </w:p>
    <w:p w14:paraId="1E64A9E7" w14:textId="77777777" w:rsidR="000B47C0" w:rsidRPr="00746F54" w:rsidRDefault="000B47C0" w:rsidP="000B47C0">
      <w:pPr>
        <w:pStyle w:val="Paragraph"/>
        <w:numPr>
          <w:ilvl w:val="0"/>
          <w:numId w:val="62"/>
        </w:numPr>
        <w:spacing w:line="240" w:lineRule="auto"/>
        <w:jc w:val="both"/>
        <w:rPr>
          <w:rFonts w:ascii="Arial" w:hAnsi="Arial" w:cs="Arial"/>
          <w:sz w:val="22"/>
        </w:rPr>
      </w:pPr>
      <w:r w:rsidRPr="00746F54">
        <w:rPr>
          <w:rFonts w:ascii="Arial" w:hAnsi="Arial" w:cs="Arial"/>
          <w:sz w:val="22"/>
        </w:rPr>
        <w:t>Transfer capacity reserved for RU and RD in both directions (dispatched by AGC).</w:t>
      </w:r>
    </w:p>
    <w:p w14:paraId="471D06FC" w14:textId="40A171F5" w:rsidR="000B47C0" w:rsidRPr="00746F54" w:rsidRDefault="000B47C0" w:rsidP="000B47C0">
      <w:pPr>
        <w:pStyle w:val="Paragraph"/>
        <w:rPr>
          <w:rFonts w:ascii="Arial" w:hAnsi="Arial" w:cs="Arial"/>
          <w:sz w:val="22"/>
        </w:rPr>
      </w:pPr>
      <w:r w:rsidRPr="00746F54">
        <w:rPr>
          <w:rFonts w:ascii="Arial" w:hAnsi="Arial" w:cs="Arial"/>
          <w:sz w:val="22"/>
        </w:rPr>
        <w:t xml:space="preserve">For Type 1 TSRs, the TCSC must rebid them in RTM to self-schedule under the relevant CRN, if the CRN does not expire after DAM. If the CRN expires after DAM, or there is no CRN </w:t>
      </w:r>
      <w:r w:rsidRPr="00746F54">
        <w:rPr>
          <w:rFonts w:ascii="Arial" w:hAnsi="Arial" w:cs="Arial"/>
          <w:sz w:val="22"/>
        </w:rPr>
        <w:lastRenderedPageBreak/>
        <w:t>(“NONE”), a self-schedule must be submitted. The CRNs are subject to entitlement, but not balancing, validation in RTM, thus SIBR will set the Priority Indicator for each CRN accordingly. The TCSC may change the self-schedule in the RTM bid from the DA schedule. The TCSC may increase the self-schedule to exercise rights that were reserved (not self-scheduled or released) in DAM, but not higher than the corresponding Maximum Capacity. SIBR will validate that the sum of self-schedules of all Type 1 TSRs by a TCSC for a CRN at a transfer location plus the capacity that was released in DAM by the TCSC for that CRN at that transfer location does not exceed the CRN capacity specified by the relevant EESC for that TCSC, CRN, and transfer location.</w:t>
      </w:r>
    </w:p>
    <w:p w14:paraId="3FA1B98E" w14:textId="77777777" w:rsidR="000B47C0" w:rsidRPr="00746F54" w:rsidRDefault="000B47C0" w:rsidP="00636D40">
      <w:pPr>
        <w:pStyle w:val="Heading3"/>
        <w:rPr>
          <w:rFonts w:ascii="Arial" w:hAnsi="Arial" w:cs="Arial"/>
        </w:rPr>
      </w:pPr>
      <w:bookmarkStart w:id="77" w:name="_Toc191646297"/>
      <w:bookmarkStart w:id="78" w:name="_Toc211337884"/>
      <w:r w:rsidRPr="00746F54">
        <w:rPr>
          <w:rFonts w:ascii="Arial" w:hAnsi="Arial" w:cs="Arial"/>
        </w:rPr>
        <w:t>TSR Schedule Update in RTM</w:t>
      </w:r>
      <w:bookmarkEnd w:id="77"/>
      <w:bookmarkEnd w:id="78"/>
    </w:p>
    <w:p w14:paraId="0D852E55" w14:textId="0BBE3E48" w:rsidR="000B47C0" w:rsidRPr="00746F54" w:rsidRDefault="000B47C0" w:rsidP="00636D40">
      <w:pPr>
        <w:pStyle w:val="Paragraph"/>
        <w:rPr>
          <w:rFonts w:ascii="Arial" w:hAnsi="Arial" w:cs="Arial"/>
          <w:sz w:val="22"/>
        </w:rPr>
      </w:pPr>
      <w:r w:rsidRPr="00746F54">
        <w:rPr>
          <w:rFonts w:ascii="Arial" w:hAnsi="Arial" w:cs="Arial"/>
          <w:sz w:val="22"/>
        </w:rPr>
        <w:t>The EESC of the From BAA of a Type 1 TSR for which it is the primary tagging authority may update the TSR schedule (tag) on behalf of the corresponding TCSC in RTSI to reflect a real-time change in the exercise of the associated CRN, if the CRN allows. The updated schedule may be greater than the day-ahead schedule, but not greater than the corresponding Maximum Capacity. RTM will validate that the sum of schedules of all Type 1 TSRs by a TCSC for a CRN at a transfer location plus the capacity that was released in DAM by the TCSC for that CRN at that transfer location does not exceed the CRN capacity specified by the relevant EESC for that TCSC, CRN, and transfer location. Otherwise, RTM will associate the CRN only with the valid portion of the schedule, affording it the respective scheduling priority; any excess schedule shall be a normal self- schedule and will not be eligible for any related financial hedge in settlement. The TCSC can exercise rights that were reserved in DAM even if the additional transfer capacity has been released by the EESC under a Type 4 TSR, after the ECSC reduces the Maximum Capacity of that Type 4 TSR to force a redispatch in RTM.</w:t>
      </w:r>
    </w:p>
    <w:p w14:paraId="143E562E" w14:textId="77777777" w:rsidR="00947B7F" w:rsidRPr="00746F54" w:rsidRDefault="00947B7F" w:rsidP="00636D40">
      <w:pPr>
        <w:pStyle w:val="Paragraph"/>
        <w:rPr>
          <w:rFonts w:ascii="Arial" w:hAnsi="Arial" w:cs="Arial"/>
        </w:rPr>
      </w:pPr>
    </w:p>
    <w:p w14:paraId="4AD11F73" w14:textId="48B61D66" w:rsidR="000B47C0" w:rsidRPr="00746F54" w:rsidRDefault="00490EC0" w:rsidP="00062382">
      <w:pPr>
        <w:pStyle w:val="Heading2"/>
        <w:rPr>
          <w:rFonts w:ascii="Arial" w:hAnsi="Arial" w:cs="Arial"/>
        </w:rPr>
      </w:pPr>
      <w:bookmarkStart w:id="79" w:name="_Toc211337885"/>
      <w:bookmarkStart w:id="80" w:name="_Toc228963683"/>
      <w:r w:rsidRPr="00746F54">
        <w:rPr>
          <w:rFonts w:ascii="Arial" w:hAnsi="Arial" w:cs="Arial"/>
        </w:rPr>
        <w:t xml:space="preserve">EDAM </w:t>
      </w:r>
      <w:r w:rsidR="00174CC3" w:rsidRPr="00746F54">
        <w:rPr>
          <w:rFonts w:ascii="Arial" w:hAnsi="Arial" w:cs="Arial"/>
        </w:rPr>
        <w:t>Disruption</w:t>
      </w:r>
      <w:bookmarkEnd w:id="79"/>
      <w:bookmarkEnd w:id="80"/>
      <w:r w:rsidRPr="00746F54">
        <w:rPr>
          <w:rFonts w:ascii="Arial" w:hAnsi="Arial" w:cs="Arial"/>
        </w:rPr>
        <w:t xml:space="preserve"> </w:t>
      </w:r>
    </w:p>
    <w:p w14:paraId="61BAE87C" w14:textId="09DB742B" w:rsidR="008B6343" w:rsidRPr="00746F54" w:rsidRDefault="008B6343" w:rsidP="00062382">
      <w:pPr>
        <w:pStyle w:val="ParaText"/>
        <w:rPr>
          <w:rFonts w:ascii="Arial" w:eastAsia="Times New Roman" w:hAnsi="Arial" w:cs="Arial"/>
          <w:u w:val="single"/>
        </w:rPr>
      </w:pPr>
      <w:r w:rsidRPr="00746F54">
        <w:rPr>
          <w:rFonts w:ascii="Arial" w:eastAsia="Times New Roman" w:hAnsi="Arial" w:cs="Arial"/>
          <w:u w:val="single"/>
        </w:rPr>
        <w:t>Reference tariff section 33.7</w:t>
      </w:r>
      <w:r w:rsidR="008E459E" w:rsidRPr="00746F54">
        <w:rPr>
          <w:rFonts w:ascii="Arial" w:eastAsia="Times New Roman" w:hAnsi="Arial" w:cs="Arial"/>
          <w:u w:val="single"/>
        </w:rPr>
        <w:t>.4</w:t>
      </w:r>
    </w:p>
    <w:p w14:paraId="5F27D74F" w14:textId="26D243D2" w:rsidR="00062382" w:rsidRPr="00746F54" w:rsidRDefault="00062382" w:rsidP="00062382">
      <w:pPr>
        <w:pStyle w:val="ParaText"/>
        <w:rPr>
          <w:rFonts w:ascii="Arial" w:hAnsi="Arial" w:cs="Arial"/>
          <w:color w:val="000000" w:themeColor="text1"/>
        </w:rPr>
      </w:pPr>
      <w:r w:rsidRPr="00746F54">
        <w:rPr>
          <w:rFonts w:ascii="Arial" w:eastAsia="Times New Roman" w:hAnsi="Arial" w:cs="Arial"/>
          <w:b/>
          <w:bCs/>
        </w:rPr>
        <w:t>Market Disruption</w:t>
      </w:r>
      <w:r w:rsidRPr="00746F54">
        <w:rPr>
          <w:rFonts w:ascii="Arial" w:hAnsi="Arial" w:cs="Arial"/>
        </w:rPr>
        <w:t xml:space="preserve"> –Includes unplanned or unintended EDAM market or EDAM market module failures or invalid results that affect all EDAM entities equally.  Summary items include:</w:t>
      </w:r>
      <w:r w:rsidRPr="00746F54">
        <w:rPr>
          <w:rStyle w:val="eop"/>
          <w:rFonts w:ascii="Arial" w:hAnsi="Arial" w:cs="Arial"/>
          <w:color w:val="000000" w:themeColor="text1"/>
        </w:rPr>
        <w:t> </w:t>
      </w:r>
    </w:p>
    <w:p w14:paraId="167BCC4A" w14:textId="77777777" w:rsidR="00062382" w:rsidRPr="00746F54" w:rsidRDefault="00062382" w:rsidP="00062382">
      <w:pPr>
        <w:pStyle w:val="paragraph0"/>
        <w:numPr>
          <w:ilvl w:val="0"/>
          <w:numId w:val="63"/>
        </w:numPr>
        <w:spacing w:before="0" w:beforeAutospacing="0" w:after="0" w:afterAutospacing="0" w:line="360" w:lineRule="auto"/>
        <w:ind w:left="360"/>
        <w:textAlignment w:val="baseline"/>
        <w:rPr>
          <w:rFonts w:ascii="Arial" w:hAnsi="Arial" w:cs="Arial"/>
          <w:color w:val="000000" w:themeColor="text1"/>
        </w:rPr>
      </w:pPr>
      <w:r w:rsidRPr="00746F54">
        <w:rPr>
          <w:rStyle w:val="normaltextrun"/>
          <w:rFonts w:ascii="Arial" w:hAnsi="Arial" w:cs="Arial"/>
          <w:iCs/>
          <w:color w:val="000000" w:themeColor="text1"/>
          <w:sz w:val="22"/>
          <w:szCs w:val="22"/>
        </w:rPr>
        <w:t>Only the market operator has the authority to declare an EDAM disruption event or declare when the given disruption event is resolved and reinstate normal EDAM operations.  </w:t>
      </w:r>
      <w:r w:rsidRPr="00746F54">
        <w:rPr>
          <w:rStyle w:val="eop"/>
          <w:rFonts w:ascii="Arial" w:hAnsi="Arial" w:cs="Arial"/>
          <w:color w:val="000000" w:themeColor="text1"/>
          <w:sz w:val="22"/>
          <w:szCs w:val="22"/>
        </w:rPr>
        <w:t> </w:t>
      </w:r>
    </w:p>
    <w:p w14:paraId="2658FD83" w14:textId="77777777" w:rsidR="00062382" w:rsidRPr="00746F54" w:rsidRDefault="00062382" w:rsidP="00062382">
      <w:pPr>
        <w:pStyle w:val="paragraph0"/>
        <w:numPr>
          <w:ilvl w:val="0"/>
          <w:numId w:val="63"/>
        </w:numPr>
        <w:spacing w:before="0" w:beforeAutospacing="0" w:after="0" w:afterAutospacing="0" w:line="360" w:lineRule="auto"/>
        <w:ind w:left="360"/>
        <w:textAlignment w:val="baseline"/>
        <w:rPr>
          <w:rStyle w:val="eop"/>
          <w:rFonts w:ascii="Arial" w:hAnsi="Arial" w:cs="Arial"/>
          <w:color w:val="000000" w:themeColor="text1"/>
        </w:rPr>
      </w:pPr>
      <w:r w:rsidRPr="00746F54">
        <w:rPr>
          <w:rStyle w:val="normaltextrun"/>
          <w:rFonts w:ascii="Arial" w:hAnsi="Arial" w:cs="Arial"/>
          <w:iCs/>
          <w:color w:val="000000" w:themeColor="text1"/>
          <w:sz w:val="22"/>
          <w:szCs w:val="22"/>
        </w:rPr>
        <w:t>An EDAM entity cannot declare itself in a market disruption event unilaterally.</w:t>
      </w:r>
      <w:r w:rsidRPr="00746F54">
        <w:rPr>
          <w:rStyle w:val="eop"/>
          <w:rFonts w:ascii="Arial" w:hAnsi="Arial" w:cs="Arial"/>
          <w:color w:val="000000" w:themeColor="text1"/>
          <w:sz w:val="22"/>
          <w:szCs w:val="22"/>
        </w:rPr>
        <w:t> </w:t>
      </w:r>
    </w:p>
    <w:p w14:paraId="3F026122" w14:textId="77777777" w:rsidR="00062382" w:rsidRPr="00746F54" w:rsidRDefault="00062382" w:rsidP="00062382">
      <w:pPr>
        <w:pStyle w:val="paragraph0"/>
        <w:numPr>
          <w:ilvl w:val="0"/>
          <w:numId w:val="63"/>
        </w:numPr>
        <w:spacing w:before="0" w:beforeAutospacing="0" w:after="0" w:afterAutospacing="0" w:line="360" w:lineRule="auto"/>
        <w:ind w:left="360"/>
        <w:textAlignment w:val="baseline"/>
        <w:rPr>
          <w:rStyle w:val="normaltextrun"/>
          <w:rFonts w:ascii="Arial" w:hAnsi="Arial" w:cs="Arial"/>
          <w:color w:val="000000" w:themeColor="text1"/>
        </w:rPr>
      </w:pPr>
      <w:r w:rsidRPr="00746F54">
        <w:rPr>
          <w:rStyle w:val="normaltextrun"/>
          <w:rFonts w:ascii="Arial" w:hAnsi="Arial" w:cs="Arial"/>
          <w:iCs/>
          <w:color w:val="000000" w:themeColor="text1"/>
          <w:sz w:val="22"/>
          <w:szCs w:val="22"/>
        </w:rPr>
        <w:t>In the event the market operator has not published Day-Ahead market results by 18:00, the market operator shall send an MNS/</w:t>
      </w:r>
      <w:proofErr w:type="spellStart"/>
      <w:r w:rsidRPr="00746F54">
        <w:rPr>
          <w:rStyle w:val="normaltextrun"/>
          <w:rFonts w:ascii="Arial" w:hAnsi="Arial" w:cs="Arial"/>
          <w:iCs/>
          <w:color w:val="000000" w:themeColor="text1"/>
          <w:sz w:val="22"/>
          <w:szCs w:val="22"/>
        </w:rPr>
        <w:t>EverBridge</w:t>
      </w:r>
      <w:proofErr w:type="spellEnd"/>
      <w:r w:rsidRPr="00746F54">
        <w:rPr>
          <w:rStyle w:val="normaltextrun"/>
          <w:rFonts w:ascii="Arial" w:hAnsi="Arial" w:cs="Arial"/>
          <w:iCs/>
          <w:color w:val="000000" w:themeColor="text1"/>
          <w:sz w:val="22"/>
          <w:szCs w:val="22"/>
        </w:rPr>
        <w:t xml:space="preserve"> notifying that either:</w:t>
      </w:r>
    </w:p>
    <w:p w14:paraId="59552752" w14:textId="6C2E0A35" w:rsidR="00062382" w:rsidRPr="00746F54" w:rsidRDefault="00062382" w:rsidP="00062382">
      <w:pPr>
        <w:pStyle w:val="paragraph0"/>
        <w:numPr>
          <w:ilvl w:val="1"/>
          <w:numId w:val="63"/>
        </w:numPr>
        <w:spacing w:before="0" w:beforeAutospacing="0" w:after="0" w:afterAutospacing="0" w:line="360" w:lineRule="auto"/>
        <w:textAlignment w:val="baseline"/>
        <w:rPr>
          <w:rStyle w:val="normaltextrun"/>
          <w:rFonts w:ascii="Arial" w:hAnsi="Arial" w:cs="Arial"/>
          <w:color w:val="000000" w:themeColor="text1"/>
        </w:rPr>
      </w:pPr>
      <w:r w:rsidRPr="00746F54">
        <w:rPr>
          <w:rStyle w:val="normaltextrun"/>
          <w:rFonts w:ascii="Arial" w:hAnsi="Arial" w:cs="Arial"/>
          <w:iCs/>
          <w:color w:val="000000" w:themeColor="text1"/>
          <w:sz w:val="22"/>
          <w:szCs w:val="22"/>
        </w:rPr>
        <w:t xml:space="preserve">The market operator still intends to publish Day-Ahead results before </w:t>
      </w:r>
      <w:r w:rsidR="00C95132" w:rsidRPr="00746F54">
        <w:rPr>
          <w:rStyle w:val="normaltextrun"/>
          <w:rFonts w:ascii="Arial" w:hAnsi="Arial" w:cs="Arial"/>
          <w:iCs/>
          <w:color w:val="000000" w:themeColor="text1"/>
          <w:sz w:val="22"/>
          <w:szCs w:val="22"/>
        </w:rPr>
        <w:t>21:00.</w:t>
      </w:r>
    </w:p>
    <w:p w14:paraId="32D26A0E" w14:textId="702A76AC" w:rsidR="00062382" w:rsidRPr="00746F54" w:rsidRDefault="00062382" w:rsidP="00062382">
      <w:pPr>
        <w:pStyle w:val="paragraph0"/>
        <w:numPr>
          <w:ilvl w:val="1"/>
          <w:numId w:val="63"/>
        </w:numPr>
        <w:spacing w:before="0" w:beforeAutospacing="0" w:after="0" w:afterAutospacing="0" w:line="360" w:lineRule="auto"/>
        <w:textAlignment w:val="baseline"/>
        <w:rPr>
          <w:rStyle w:val="normaltextrun"/>
          <w:rFonts w:ascii="Arial" w:hAnsi="Arial" w:cs="Arial"/>
          <w:color w:val="000000" w:themeColor="text1"/>
        </w:rPr>
      </w:pPr>
      <w:r w:rsidRPr="00746F54">
        <w:rPr>
          <w:rStyle w:val="normaltextrun"/>
          <w:rFonts w:ascii="Arial" w:hAnsi="Arial" w:cs="Arial"/>
          <w:iCs/>
          <w:color w:val="000000" w:themeColor="text1"/>
          <w:sz w:val="22"/>
          <w:szCs w:val="22"/>
        </w:rPr>
        <w:t xml:space="preserve">Notify all market participants that the previous Day-Ahead results will be </w:t>
      </w:r>
      <w:r w:rsidR="00C95132" w:rsidRPr="00746F54">
        <w:rPr>
          <w:rStyle w:val="normaltextrun"/>
          <w:rFonts w:ascii="Arial" w:hAnsi="Arial" w:cs="Arial"/>
          <w:iCs/>
          <w:color w:val="000000" w:themeColor="text1"/>
          <w:sz w:val="22"/>
          <w:szCs w:val="22"/>
        </w:rPr>
        <w:t>published.</w:t>
      </w:r>
    </w:p>
    <w:p w14:paraId="4D3B58D4" w14:textId="77777777" w:rsidR="00062382" w:rsidRPr="00746F54" w:rsidRDefault="00062382" w:rsidP="00062382">
      <w:pPr>
        <w:pStyle w:val="paragraph0"/>
        <w:numPr>
          <w:ilvl w:val="1"/>
          <w:numId w:val="63"/>
        </w:numPr>
        <w:spacing w:before="0" w:beforeAutospacing="0" w:after="0" w:afterAutospacing="0" w:line="360" w:lineRule="auto"/>
        <w:textAlignment w:val="baseline"/>
        <w:rPr>
          <w:rStyle w:val="normaltextrun"/>
          <w:rFonts w:ascii="Arial" w:hAnsi="Arial" w:cs="Arial"/>
          <w:color w:val="000000" w:themeColor="text1"/>
        </w:rPr>
      </w:pPr>
      <w:r w:rsidRPr="00746F54">
        <w:rPr>
          <w:rStyle w:val="normaltextrun"/>
          <w:rFonts w:ascii="Arial" w:hAnsi="Arial" w:cs="Arial"/>
          <w:iCs/>
          <w:color w:val="000000" w:themeColor="text1"/>
          <w:sz w:val="22"/>
          <w:szCs w:val="22"/>
        </w:rPr>
        <w:lastRenderedPageBreak/>
        <w:t xml:space="preserve">Notify all market participants that the previous Day-Ahead results should be followed but no Day-Ahead results will be published or; </w:t>
      </w:r>
    </w:p>
    <w:p w14:paraId="78CB8A43" w14:textId="77777777" w:rsidR="00062382" w:rsidRPr="00746F54" w:rsidRDefault="00062382" w:rsidP="00062382">
      <w:pPr>
        <w:pStyle w:val="paragraph0"/>
        <w:numPr>
          <w:ilvl w:val="1"/>
          <w:numId w:val="63"/>
        </w:numPr>
        <w:spacing w:before="0" w:beforeAutospacing="0" w:after="0" w:afterAutospacing="0" w:line="360" w:lineRule="auto"/>
        <w:textAlignment w:val="baseline"/>
        <w:rPr>
          <w:rFonts w:ascii="Arial" w:hAnsi="Arial" w:cs="Arial"/>
          <w:color w:val="000000" w:themeColor="text1"/>
        </w:rPr>
      </w:pPr>
      <w:r w:rsidRPr="00746F54">
        <w:rPr>
          <w:rStyle w:val="normaltextrun"/>
          <w:rFonts w:ascii="Arial" w:hAnsi="Arial" w:cs="Arial"/>
          <w:iCs/>
          <w:color w:val="000000" w:themeColor="text1"/>
          <w:sz w:val="22"/>
          <w:szCs w:val="22"/>
        </w:rPr>
        <w:t>Notify all market participants that the Day-Ahead has been suspended for all participants, no results will be published, and that all entities must rely on exceptional dispatches and other manual instructions and on Real-Time market results, pursuant to Tariff Section 7.7.9(b).</w:t>
      </w:r>
      <w:r w:rsidRPr="00746F54">
        <w:rPr>
          <w:rStyle w:val="eop"/>
          <w:rFonts w:ascii="Arial" w:hAnsi="Arial" w:cs="Arial"/>
          <w:color w:val="000000" w:themeColor="text1"/>
          <w:sz w:val="22"/>
          <w:szCs w:val="22"/>
        </w:rPr>
        <w:t> </w:t>
      </w:r>
    </w:p>
    <w:p w14:paraId="18DE3F80" w14:textId="77777777" w:rsidR="00431E83" w:rsidRDefault="00431E83" w:rsidP="00062382">
      <w:pPr>
        <w:pStyle w:val="paragraph0"/>
        <w:spacing w:before="0" w:beforeAutospacing="0" w:after="0" w:afterAutospacing="0" w:line="360" w:lineRule="auto"/>
        <w:textAlignment w:val="baseline"/>
        <w:rPr>
          <w:rStyle w:val="eop"/>
          <w:rFonts w:ascii="Arial" w:hAnsi="Arial" w:cs="Arial"/>
          <w:color w:val="000000" w:themeColor="text1"/>
          <w:sz w:val="22"/>
          <w:szCs w:val="22"/>
        </w:rPr>
      </w:pPr>
    </w:p>
    <w:p w14:paraId="338436F5" w14:textId="12566E9D" w:rsidR="00062382" w:rsidRPr="00746F54" w:rsidRDefault="00062382" w:rsidP="00062382">
      <w:pPr>
        <w:pStyle w:val="paragraph0"/>
        <w:spacing w:before="0" w:beforeAutospacing="0" w:after="0" w:afterAutospacing="0" w:line="360" w:lineRule="auto"/>
        <w:textAlignment w:val="baseline"/>
        <w:rPr>
          <w:rFonts w:ascii="Arial" w:hAnsi="Arial" w:cs="Arial"/>
          <w:color w:val="000000" w:themeColor="text1"/>
        </w:rPr>
      </w:pPr>
      <w:r w:rsidRPr="00746F54">
        <w:rPr>
          <w:rStyle w:val="eop"/>
          <w:rFonts w:ascii="Arial" w:hAnsi="Arial" w:cs="Arial"/>
          <w:color w:val="000000" w:themeColor="text1"/>
          <w:sz w:val="22"/>
          <w:szCs w:val="22"/>
        </w:rPr>
        <w:t>For further details, See Operating Procedure 1210</w:t>
      </w:r>
      <w:r w:rsidR="00431E83">
        <w:rPr>
          <w:rStyle w:val="eop"/>
          <w:rFonts w:ascii="Arial" w:hAnsi="Arial" w:cs="Arial"/>
          <w:color w:val="000000" w:themeColor="text1"/>
          <w:sz w:val="22"/>
          <w:szCs w:val="22"/>
        </w:rPr>
        <w:t>.</w:t>
      </w:r>
      <w:r w:rsidRPr="00746F54">
        <w:rPr>
          <w:rStyle w:val="eop"/>
          <w:rFonts w:ascii="Arial" w:hAnsi="Arial" w:cs="Arial"/>
          <w:color w:val="000000" w:themeColor="text1"/>
          <w:sz w:val="22"/>
          <w:szCs w:val="22"/>
        </w:rPr>
        <w:t> </w:t>
      </w:r>
    </w:p>
    <w:p w14:paraId="723D3057" w14:textId="77777777" w:rsidR="00062382" w:rsidRPr="00746F54" w:rsidRDefault="00062382" w:rsidP="00062382">
      <w:pPr>
        <w:pStyle w:val="paragraph0"/>
        <w:spacing w:before="0" w:beforeAutospacing="0" w:after="0" w:afterAutospacing="0" w:line="360" w:lineRule="auto"/>
        <w:textAlignment w:val="baseline"/>
        <w:rPr>
          <w:rStyle w:val="normaltextrun"/>
          <w:rFonts w:ascii="Arial" w:hAnsi="Arial" w:cs="Arial"/>
          <w:b/>
          <w:bCs/>
          <w:iCs/>
          <w:color w:val="000000" w:themeColor="text1"/>
          <w:sz w:val="22"/>
          <w:szCs w:val="22"/>
        </w:rPr>
      </w:pPr>
    </w:p>
    <w:p w14:paraId="3074638E" w14:textId="77777777" w:rsidR="00062382" w:rsidRPr="00746F54" w:rsidRDefault="00062382" w:rsidP="00062382">
      <w:pPr>
        <w:pStyle w:val="paragraph0"/>
        <w:spacing w:before="0" w:beforeAutospacing="0" w:after="0" w:afterAutospacing="0" w:line="360" w:lineRule="auto"/>
        <w:textAlignment w:val="baseline"/>
        <w:rPr>
          <w:rStyle w:val="eop"/>
          <w:rFonts w:ascii="Arial" w:hAnsi="Arial" w:cs="Arial"/>
          <w:color w:val="000000" w:themeColor="text1"/>
          <w:sz w:val="22"/>
          <w:szCs w:val="22"/>
        </w:rPr>
      </w:pPr>
      <w:r w:rsidRPr="00746F54">
        <w:rPr>
          <w:rStyle w:val="normaltextrun"/>
          <w:rFonts w:ascii="Arial" w:hAnsi="Arial" w:cs="Arial"/>
          <w:b/>
          <w:bCs/>
          <w:iCs/>
          <w:color w:val="000000" w:themeColor="text1"/>
          <w:sz w:val="22"/>
          <w:szCs w:val="22"/>
        </w:rPr>
        <w:t>Market Isolation</w:t>
      </w:r>
      <w:r w:rsidRPr="00746F54">
        <w:rPr>
          <w:rStyle w:val="normaltextrun"/>
          <w:rFonts w:ascii="Arial" w:hAnsi="Arial" w:cs="Arial"/>
          <w:iCs/>
          <w:color w:val="000000" w:themeColor="text1"/>
          <w:sz w:val="22"/>
          <w:szCs w:val="22"/>
        </w:rPr>
        <w:t xml:space="preserve"> – This is at the EDAM-level and is upon request to the market operator. The EDAM will be isolated from the EDAM market and specifically all generation-level </w:t>
      </w:r>
      <w:proofErr w:type="gramStart"/>
      <w:r w:rsidRPr="00746F54">
        <w:rPr>
          <w:rStyle w:val="normaltextrun"/>
          <w:rFonts w:ascii="Arial" w:hAnsi="Arial" w:cs="Arial"/>
          <w:iCs/>
          <w:color w:val="000000" w:themeColor="text1"/>
          <w:sz w:val="22"/>
          <w:szCs w:val="22"/>
        </w:rPr>
        <w:t>movement</w:t>
      </w:r>
      <w:proofErr w:type="gramEnd"/>
      <w:r w:rsidRPr="00746F54">
        <w:rPr>
          <w:rStyle w:val="normaltextrun"/>
          <w:rFonts w:ascii="Arial" w:hAnsi="Arial" w:cs="Arial"/>
          <w:iCs/>
          <w:color w:val="000000" w:themeColor="text1"/>
          <w:sz w:val="22"/>
          <w:szCs w:val="22"/>
        </w:rPr>
        <w:t xml:space="preserve"> required to support TSR transfers.  To accomplish this, the EDAM ensures that zero transfer limits are provided on all applicable TSRs.  Note: the default entry of limits is zero.  The EDAM entity will still receive valid final Day-Ahead MW schedules for their internal resources. </w:t>
      </w:r>
      <w:r w:rsidRPr="00746F54">
        <w:rPr>
          <w:rStyle w:val="eop"/>
          <w:rFonts w:ascii="Arial" w:hAnsi="Arial" w:cs="Arial"/>
          <w:color w:val="000000" w:themeColor="text1"/>
          <w:sz w:val="22"/>
          <w:szCs w:val="22"/>
        </w:rPr>
        <w:t> </w:t>
      </w:r>
      <w:r w:rsidRPr="00746F54">
        <w:rPr>
          <w:rStyle w:val="normaltextrun"/>
          <w:rFonts w:ascii="Arial" w:hAnsi="Arial" w:cs="Arial"/>
          <w:iCs/>
          <w:color w:val="000000" w:themeColor="text1"/>
          <w:sz w:val="22"/>
          <w:szCs w:val="22"/>
        </w:rPr>
        <w:t>For an unplanned Market Isolation request, </w:t>
      </w:r>
      <w:r w:rsidRPr="00746F54">
        <w:rPr>
          <w:rStyle w:val="normaltextrun"/>
          <w:rFonts w:ascii="Arial" w:hAnsi="Arial" w:cs="Arial"/>
          <w:b/>
          <w:bCs/>
          <w:iCs/>
          <w:color w:val="000000" w:themeColor="text1"/>
          <w:sz w:val="22"/>
          <w:szCs w:val="22"/>
          <w:u w:val="single"/>
        </w:rPr>
        <w:t>an EDAM entity may take the following actions prior to 10:00:</w:t>
      </w:r>
      <w:r w:rsidRPr="00746F54">
        <w:rPr>
          <w:rStyle w:val="normaltextrun"/>
          <w:rFonts w:ascii="Arial" w:hAnsi="Arial" w:cs="Arial"/>
          <w:iCs/>
          <w:color w:val="000000" w:themeColor="text1"/>
          <w:sz w:val="22"/>
          <w:szCs w:val="22"/>
        </w:rPr>
        <w:t>  </w:t>
      </w:r>
      <w:r w:rsidRPr="00746F54">
        <w:rPr>
          <w:rStyle w:val="eop"/>
          <w:rFonts w:ascii="Arial" w:hAnsi="Arial" w:cs="Arial"/>
          <w:color w:val="000000" w:themeColor="text1"/>
          <w:sz w:val="22"/>
          <w:szCs w:val="22"/>
        </w:rPr>
        <w:t> </w:t>
      </w:r>
    </w:p>
    <w:p w14:paraId="7C1C126D" w14:textId="77777777" w:rsidR="00062382" w:rsidRPr="00746F54" w:rsidRDefault="00062382" w:rsidP="00062382">
      <w:pPr>
        <w:pStyle w:val="paragraph0"/>
        <w:numPr>
          <w:ilvl w:val="0"/>
          <w:numId w:val="127"/>
        </w:numPr>
        <w:spacing w:before="0" w:beforeAutospacing="0" w:after="0" w:afterAutospacing="0" w:line="360" w:lineRule="auto"/>
        <w:ind w:left="1080"/>
        <w:textAlignment w:val="baseline"/>
        <w:rPr>
          <w:rStyle w:val="normaltextrun"/>
          <w:rFonts w:ascii="Arial" w:hAnsi="Arial" w:cs="Arial"/>
        </w:rPr>
      </w:pPr>
      <w:r w:rsidRPr="00746F54">
        <w:rPr>
          <w:rStyle w:val="normaltextrun"/>
          <w:rFonts w:ascii="Arial" w:hAnsi="Arial" w:cs="Arial"/>
          <w:iCs/>
          <w:color w:val="000000" w:themeColor="text1"/>
          <w:sz w:val="22"/>
          <w:szCs w:val="22"/>
        </w:rPr>
        <w:t>Contact the market operator and request a market isolation.</w:t>
      </w:r>
      <w:r w:rsidRPr="00746F54">
        <w:rPr>
          <w:rStyle w:val="eop"/>
          <w:rFonts w:ascii="Arial" w:hAnsi="Arial" w:cs="Arial"/>
          <w:color w:val="000000" w:themeColor="text1"/>
          <w:sz w:val="22"/>
          <w:szCs w:val="22"/>
        </w:rPr>
        <w:t> </w:t>
      </w:r>
      <w:r w:rsidRPr="00746F54">
        <w:rPr>
          <w:rStyle w:val="normaltextrun"/>
          <w:rFonts w:ascii="Arial" w:hAnsi="Arial" w:cs="Arial"/>
          <w:iCs/>
          <w:color w:val="000000" w:themeColor="text1"/>
          <w:sz w:val="22"/>
          <w:szCs w:val="22"/>
        </w:rPr>
        <w:t>A market isolation may only be requested for the next trade date and effective for all 24 hours.  </w:t>
      </w:r>
    </w:p>
    <w:p w14:paraId="5BFBE99D" w14:textId="77777777" w:rsidR="00062382" w:rsidRPr="00746F54" w:rsidRDefault="00062382" w:rsidP="00062382">
      <w:pPr>
        <w:pStyle w:val="paragraph0"/>
        <w:numPr>
          <w:ilvl w:val="0"/>
          <w:numId w:val="127"/>
        </w:numPr>
        <w:spacing w:before="0" w:beforeAutospacing="0" w:after="0" w:afterAutospacing="0" w:line="360" w:lineRule="auto"/>
        <w:ind w:left="1080"/>
        <w:textAlignment w:val="baseline"/>
        <w:rPr>
          <w:rStyle w:val="eop"/>
          <w:rFonts w:ascii="Arial" w:hAnsi="Arial" w:cs="Arial"/>
        </w:rPr>
      </w:pPr>
      <w:r w:rsidRPr="00746F54">
        <w:rPr>
          <w:rStyle w:val="normaltextrun"/>
          <w:rFonts w:ascii="Arial" w:hAnsi="Arial" w:cs="Arial"/>
          <w:iCs/>
          <w:color w:val="000000" w:themeColor="text1"/>
          <w:sz w:val="22"/>
          <w:szCs w:val="22"/>
        </w:rPr>
        <w:t>An EDAM entity cannot declare itself in a market isolation unilaterally.</w:t>
      </w:r>
      <w:r w:rsidRPr="00746F54">
        <w:rPr>
          <w:rStyle w:val="eop"/>
          <w:rFonts w:ascii="Arial" w:hAnsi="Arial" w:cs="Arial"/>
          <w:color w:val="000000" w:themeColor="text1"/>
          <w:sz w:val="22"/>
          <w:szCs w:val="22"/>
        </w:rPr>
        <w:t> </w:t>
      </w:r>
    </w:p>
    <w:p w14:paraId="6A3E1C5A" w14:textId="77777777" w:rsidR="00062382" w:rsidRPr="00746F54" w:rsidRDefault="00062382" w:rsidP="00062382">
      <w:pPr>
        <w:pStyle w:val="paragraph0"/>
        <w:numPr>
          <w:ilvl w:val="0"/>
          <w:numId w:val="127"/>
        </w:numPr>
        <w:spacing w:before="0" w:beforeAutospacing="0" w:after="0" w:afterAutospacing="0" w:line="360" w:lineRule="auto"/>
        <w:ind w:left="1080"/>
        <w:textAlignment w:val="baseline"/>
        <w:rPr>
          <w:rStyle w:val="normaltextrun"/>
          <w:rFonts w:ascii="Arial" w:hAnsi="Arial" w:cs="Arial"/>
          <w:color w:val="000000" w:themeColor="text1"/>
        </w:rPr>
      </w:pPr>
      <w:r w:rsidRPr="00746F54">
        <w:rPr>
          <w:rStyle w:val="normaltextrun"/>
          <w:rFonts w:ascii="Arial" w:hAnsi="Arial" w:cs="Arial"/>
          <w:iCs/>
          <w:color w:val="000000" w:themeColor="text1"/>
          <w:sz w:val="22"/>
          <w:szCs w:val="22"/>
        </w:rPr>
        <w:t>Per Tariff Section 33.7.4.2, the EDAM entity will reduce their EDAM transfer limits to zero between their neighboring BAAs to mitigate potential issues to their EDAM area.</w:t>
      </w:r>
    </w:p>
    <w:p w14:paraId="6BD28D3F" w14:textId="77777777" w:rsidR="00062382" w:rsidRPr="00746F54" w:rsidRDefault="00062382" w:rsidP="00062382">
      <w:pPr>
        <w:pStyle w:val="paragraph0"/>
        <w:numPr>
          <w:ilvl w:val="0"/>
          <w:numId w:val="127"/>
        </w:numPr>
        <w:spacing w:before="0" w:beforeAutospacing="0" w:after="0" w:afterAutospacing="0" w:line="360" w:lineRule="auto"/>
        <w:ind w:left="1080"/>
        <w:textAlignment w:val="baseline"/>
        <w:rPr>
          <w:rFonts w:ascii="Arial" w:hAnsi="Arial" w:cs="Arial"/>
          <w:color w:val="000000" w:themeColor="text1"/>
        </w:rPr>
      </w:pPr>
      <w:r w:rsidRPr="00746F54">
        <w:rPr>
          <w:rStyle w:val="normaltextrun"/>
          <w:rFonts w:ascii="Arial" w:hAnsi="Arial" w:cs="Arial"/>
          <w:iCs/>
          <w:color w:val="000000" w:themeColor="text1"/>
          <w:sz w:val="22"/>
          <w:szCs w:val="22"/>
        </w:rPr>
        <w:t>For further details see Operating Procedure 1210 including details on OATT Administrative Pricing</w:t>
      </w:r>
    </w:p>
    <w:p w14:paraId="0781A0F4" w14:textId="77777777" w:rsidR="00062382" w:rsidRPr="00746F54" w:rsidRDefault="00062382" w:rsidP="00062382">
      <w:pPr>
        <w:pStyle w:val="paragraph0"/>
        <w:spacing w:before="0" w:beforeAutospacing="0" w:after="0" w:afterAutospacing="0"/>
        <w:textAlignment w:val="baseline"/>
        <w:rPr>
          <w:rFonts w:ascii="Arial" w:hAnsi="Arial" w:cs="Arial"/>
          <w:color w:val="000000" w:themeColor="text1"/>
        </w:rPr>
      </w:pPr>
    </w:p>
    <w:p w14:paraId="217CFEB3" w14:textId="3CF01690" w:rsidR="00062382" w:rsidRDefault="00062382" w:rsidP="002E7413">
      <w:pPr>
        <w:pStyle w:val="paragraph0"/>
        <w:spacing w:before="0" w:beforeAutospacing="0" w:after="0" w:afterAutospacing="0" w:line="360" w:lineRule="auto"/>
        <w:textAlignment w:val="baseline"/>
        <w:rPr>
          <w:rStyle w:val="eop"/>
          <w:rFonts w:ascii="Arial" w:eastAsiaTheme="minorHAnsi" w:hAnsi="Arial" w:cs="Arial"/>
          <w:color w:val="000000" w:themeColor="text1"/>
          <w:kern w:val="16"/>
          <w:sz w:val="22"/>
          <w:szCs w:val="22"/>
        </w:rPr>
      </w:pPr>
      <w:r w:rsidRPr="00746F54">
        <w:rPr>
          <w:rStyle w:val="normaltextrun"/>
          <w:rFonts w:ascii="Arial" w:hAnsi="Arial" w:cs="Arial"/>
          <w:b/>
          <w:bCs/>
          <w:iCs/>
          <w:color w:val="000000" w:themeColor="text1"/>
          <w:sz w:val="22"/>
          <w:szCs w:val="22"/>
        </w:rPr>
        <w:t>Market Separation </w:t>
      </w:r>
      <w:r w:rsidR="00431E83">
        <w:rPr>
          <w:rStyle w:val="normaltextrun"/>
          <w:rFonts w:ascii="Arial" w:hAnsi="Arial" w:cs="Arial"/>
          <w:b/>
          <w:bCs/>
          <w:iCs/>
          <w:color w:val="000000" w:themeColor="text1"/>
          <w:sz w:val="22"/>
          <w:szCs w:val="22"/>
        </w:rPr>
        <w:t xml:space="preserve">- </w:t>
      </w:r>
      <w:r w:rsidRPr="00746F54">
        <w:rPr>
          <w:rStyle w:val="normaltextrun"/>
          <w:rFonts w:ascii="Arial" w:hAnsi="Arial" w:cs="Arial"/>
          <w:iCs/>
          <w:color w:val="000000" w:themeColor="text1"/>
          <w:sz w:val="22"/>
          <w:szCs w:val="22"/>
        </w:rPr>
        <w:t>Market separations are typically reserved for catastrophic events such as the inability to receive or process dispatches (technology issues), inability to staff (human resource issues), electricity issues (severe network failure) or the inability to monitor (operations facility issues).  Market Separations require several days of coordinated steps from CAISO IT and other EDAM teams to complete.  As such, this requires significant coordination between the affected EDAM entity, the CAISO and all its neighbors.  An EDAM entity cannot expect to contact the market operator just prior to the Day-Ahead execution and expect a fully coordinated market separation equal to returning to a WEIM-only entity to immediately occur for tomorrow's trade date.  </w:t>
      </w:r>
      <w:r w:rsidRPr="00746F54">
        <w:rPr>
          <w:rStyle w:val="eop"/>
          <w:rFonts w:ascii="Arial" w:hAnsi="Arial" w:cs="Arial"/>
          <w:color w:val="000000" w:themeColor="text1"/>
          <w:sz w:val="22"/>
          <w:szCs w:val="22"/>
        </w:rPr>
        <w:t> </w:t>
      </w:r>
    </w:p>
    <w:p w14:paraId="3EEE87E7" w14:textId="77777777" w:rsidR="000B0C83" w:rsidRPr="00746F54" w:rsidRDefault="000B0C83" w:rsidP="00431E83">
      <w:pPr>
        <w:pStyle w:val="paragraph0"/>
        <w:spacing w:before="0" w:beforeAutospacing="0" w:after="0" w:afterAutospacing="0"/>
        <w:textAlignment w:val="baseline"/>
        <w:rPr>
          <w:rFonts w:ascii="Arial" w:hAnsi="Arial" w:cs="Arial"/>
          <w:color w:val="000000" w:themeColor="text1"/>
        </w:rPr>
      </w:pPr>
    </w:p>
    <w:p w14:paraId="58C06C06" w14:textId="5BCCAEC6" w:rsidR="00E64FF1" w:rsidRPr="00746F54" w:rsidRDefault="00E64FF1" w:rsidP="00636D40">
      <w:pPr>
        <w:pStyle w:val="Heading1"/>
        <w:rPr>
          <w:rFonts w:ascii="Arial" w:hAnsi="Arial" w:cs="Arial"/>
        </w:rPr>
      </w:pPr>
      <w:bookmarkStart w:id="81" w:name="_Toc211337886"/>
      <w:bookmarkStart w:id="82" w:name="_Toc228963684"/>
      <w:r w:rsidRPr="00746F54">
        <w:rPr>
          <w:rFonts w:ascii="Arial" w:hAnsi="Arial" w:cs="Arial"/>
        </w:rPr>
        <w:t>Ancillary Services in EDAM</w:t>
      </w:r>
      <w:bookmarkEnd w:id="81"/>
      <w:bookmarkEnd w:id="82"/>
    </w:p>
    <w:p w14:paraId="68FD1471" w14:textId="2F42CB8D" w:rsidR="00E64FF1" w:rsidRPr="00746F54" w:rsidRDefault="00E64FF1" w:rsidP="00E64FF1">
      <w:pPr>
        <w:pStyle w:val="ParaText"/>
        <w:rPr>
          <w:rFonts w:ascii="Arial" w:hAnsi="Arial" w:cs="Arial"/>
          <w:u w:val="single"/>
        </w:rPr>
      </w:pPr>
      <w:r w:rsidRPr="00746F54">
        <w:rPr>
          <w:rFonts w:ascii="Arial" w:hAnsi="Arial" w:cs="Arial"/>
          <w:u w:val="single"/>
        </w:rPr>
        <w:t>Reference tariff section 33.8</w:t>
      </w:r>
    </w:p>
    <w:p w14:paraId="50063354" w14:textId="77777777" w:rsidR="00E64FF1" w:rsidRPr="00746F54" w:rsidRDefault="00E64FF1" w:rsidP="002E7413">
      <w:pPr>
        <w:pStyle w:val="ParaText"/>
        <w:spacing w:line="360" w:lineRule="auto"/>
        <w:rPr>
          <w:rFonts w:ascii="Arial" w:hAnsi="Arial" w:cs="Arial"/>
        </w:rPr>
      </w:pPr>
      <w:r w:rsidRPr="00746F54">
        <w:rPr>
          <w:rFonts w:ascii="Arial" w:hAnsi="Arial" w:cs="Arial"/>
        </w:rPr>
        <w:t xml:space="preserve">The Ancillary Services provisions of Section 8 of the CAISO Tariff do not apply to the Extended Day-Ahead Market, except to the extent they apply to the CAISO BAA as a participating balancing authority in the EDAM Area.  </w:t>
      </w:r>
    </w:p>
    <w:p w14:paraId="18EBF629" w14:textId="77777777" w:rsidR="00E64FF1" w:rsidRPr="00746F54" w:rsidRDefault="00E64FF1" w:rsidP="002E7413">
      <w:pPr>
        <w:pStyle w:val="ParaText"/>
        <w:spacing w:line="360" w:lineRule="auto"/>
        <w:rPr>
          <w:rFonts w:ascii="Arial" w:hAnsi="Arial" w:cs="Arial"/>
        </w:rPr>
      </w:pPr>
      <w:r w:rsidRPr="00746F54">
        <w:rPr>
          <w:rFonts w:ascii="Arial" w:hAnsi="Arial" w:cs="Arial"/>
        </w:rPr>
        <w:t>EDAM does not co-optimize energy and ancillary services across all the participating EDAM balancing areas.  Procurement of ancillary services remains within the authority and autonomy of each EDAM balancing authority area, consistent with its established processes and procedures.  The market operator does not monitor or provide any assurance that the amounts of ancillary service self-</w:t>
      </w:r>
      <w:proofErr w:type="gramStart"/>
      <w:r w:rsidRPr="00746F54">
        <w:rPr>
          <w:rFonts w:ascii="Arial" w:hAnsi="Arial" w:cs="Arial"/>
        </w:rPr>
        <w:t>schedules</w:t>
      </w:r>
      <w:proofErr w:type="gramEnd"/>
      <w:r w:rsidRPr="00746F54">
        <w:rPr>
          <w:rFonts w:ascii="Arial" w:hAnsi="Arial" w:cs="Arial"/>
        </w:rPr>
        <w:t xml:space="preserve"> submitted by EDAM participants will meet NERC standards.   For the CAISO balancing authority area, as is the case prior to launch of EDAM, the market will co-optimize procurement of energy and ancillary services consistent with applicable tariff provisions.      </w:t>
      </w:r>
    </w:p>
    <w:p w14:paraId="3EDB5C59" w14:textId="4A37FBC6" w:rsidR="00E64FF1" w:rsidRPr="00746F54" w:rsidRDefault="00E64FF1" w:rsidP="002E7413">
      <w:pPr>
        <w:pStyle w:val="ParaText"/>
        <w:spacing w:line="360" w:lineRule="auto"/>
        <w:rPr>
          <w:rFonts w:ascii="Arial" w:hAnsi="Arial" w:cs="Arial"/>
        </w:rPr>
      </w:pPr>
      <w:r w:rsidRPr="00746F54">
        <w:rPr>
          <w:rFonts w:ascii="Arial" w:hAnsi="Arial" w:cs="Arial"/>
        </w:rPr>
        <w:t xml:space="preserve">Each EDAM entity must submit Ancillary Services self-schedules via SIBR to protect capacity in the market to be used to meet their own reserve requirements.  The market will not settle these ancillary services self-schedules.  The day-ahead RSE process checks to ensure that self-scheduled ancillary services in SIBR meet the ancillary services requirements provided by the EDAM entity.  Each EDAM entity remains responsible </w:t>
      </w:r>
      <w:r w:rsidR="00C95132" w:rsidRPr="00746F54">
        <w:rPr>
          <w:rFonts w:ascii="Arial" w:hAnsi="Arial" w:cs="Arial"/>
        </w:rPr>
        <w:t>for ensuring</w:t>
      </w:r>
      <w:r w:rsidRPr="00746F54">
        <w:rPr>
          <w:rFonts w:ascii="Arial" w:hAnsi="Arial" w:cs="Arial"/>
        </w:rPr>
        <w:t xml:space="preserve"> that its self-scheduled ancillary services are deliverable across its balancing authority footprint.  Should self-scheduled ancillary service resources become unavailable in WEIM, it is the responsibility of EDAM BA to follow the NERC Reliability Standard governing replacing Contingency Reserves.  </w:t>
      </w:r>
    </w:p>
    <w:p w14:paraId="734FEDFD" w14:textId="5BF28A4A" w:rsidR="005B69F3" w:rsidRPr="00746F54" w:rsidRDefault="005B69F3" w:rsidP="00447B38">
      <w:pPr>
        <w:pStyle w:val="Heading1"/>
        <w:rPr>
          <w:rFonts w:ascii="Arial" w:hAnsi="Arial" w:cs="Arial"/>
        </w:rPr>
      </w:pPr>
      <w:bookmarkStart w:id="83" w:name="_Toc211337887"/>
      <w:bookmarkStart w:id="84" w:name="_Toc228963685"/>
      <w:r w:rsidRPr="00746F54">
        <w:rPr>
          <w:rFonts w:ascii="Arial" w:hAnsi="Arial" w:cs="Arial"/>
        </w:rPr>
        <w:t>Outage and Critical Contingencies</w:t>
      </w:r>
      <w:bookmarkEnd w:id="84"/>
      <w:r w:rsidRPr="00746F54">
        <w:rPr>
          <w:rFonts w:ascii="Arial" w:hAnsi="Arial" w:cs="Arial"/>
        </w:rPr>
        <w:t xml:space="preserve"> </w:t>
      </w:r>
      <w:bookmarkEnd w:id="83"/>
    </w:p>
    <w:p w14:paraId="5C69EAD3" w14:textId="5F68785D" w:rsidR="005B69F3" w:rsidRPr="00746F54" w:rsidRDefault="005B69F3" w:rsidP="005B69F3">
      <w:pPr>
        <w:pStyle w:val="ParaText"/>
        <w:rPr>
          <w:rFonts w:ascii="Arial" w:hAnsi="Arial" w:cs="Arial"/>
          <w:u w:val="single"/>
        </w:rPr>
      </w:pPr>
      <w:r w:rsidRPr="00746F54">
        <w:rPr>
          <w:rFonts w:ascii="Arial" w:hAnsi="Arial" w:cs="Arial"/>
          <w:u w:val="single"/>
        </w:rPr>
        <w:t>Reference tariff section 33.9</w:t>
      </w:r>
    </w:p>
    <w:p w14:paraId="66628F2B" w14:textId="77777777" w:rsidR="005B69F3" w:rsidRPr="00746F54" w:rsidRDefault="005B69F3" w:rsidP="005B69F3">
      <w:pPr>
        <w:pStyle w:val="BPM"/>
        <w:spacing w:after="0"/>
        <w:rPr>
          <w:rFonts w:ascii="Arial" w:hAnsi="Arial"/>
        </w:rPr>
      </w:pPr>
      <w:r w:rsidRPr="00746F54">
        <w:rPr>
          <w:rFonts w:ascii="Arial" w:hAnsi="Arial"/>
        </w:rPr>
        <w:t xml:space="preserve">EDAM entities that are already part of RC West shall remain subject to the outage coordination process established in operating procedure RC0630.  The outage coordination process for EDAM is not intended to address the RC and BAA’s reliability requirements under NERC Reliability Standard IRO-017-1 or supersede RC0630, but instead is focused on accurately reflecting system topology in the Day-Ahead Market and enforcement of market constraints.  </w:t>
      </w:r>
      <w:r w:rsidRPr="00746F54">
        <w:rPr>
          <w:rFonts w:ascii="Arial" w:hAnsi="Arial"/>
        </w:rPr>
        <w:lastRenderedPageBreak/>
        <w:t xml:space="preserve">There are actions taken during outage planning process as part of the Reliability Coordinator function that do have an impact on EDAM and will be described here along with the necessary information about the outage scheduling tool </w:t>
      </w:r>
      <w:proofErr w:type="spellStart"/>
      <w:r w:rsidRPr="00746F54">
        <w:rPr>
          <w:rFonts w:ascii="Arial" w:hAnsi="Arial"/>
        </w:rPr>
        <w:t>WebOMS</w:t>
      </w:r>
      <w:proofErr w:type="spellEnd"/>
      <w:r w:rsidRPr="00746F54">
        <w:rPr>
          <w:rFonts w:ascii="Arial" w:hAnsi="Arial"/>
        </w:rPr>
        <w:t>.</w:t>
      </w:r>
    </w:p>
    <w:p w14:paraId="6E1B61C0" w14:textId="77777777" w:rsidR="005B69F3" w:rsidRPr="00746F54" w:rsidRDefault="005B69F3" w:rsidP="005B69F3">
      <w:pPr>
        <w:pStyle w:val="BPM"/>
        <w:spacing w:after="0"/>
        <w:rPr>
          <w:rFonts w:ascii="Arial" w:hAnsi="Arial"/>
        </w:rPr>
      </w:pPr>
    </w:p>
    <w:p w14:paraId="2B81E9A1" w14:textId="65A0E023" w:rsidR="005B69F3" w:rsidRPr="00746F54" w:rsidRDefault="005B69F3" w:rsidP="00776EBF">
      <w:pPr>
        <w:pStyle w:val="Heading2"/>
        <w:rPr>
          <w:rFonts w:ascii="Arial" w:hAnsi="Arial" w:cs="Arial"/>
        </w:rPr>
      </w:pPr>
      <w:bookmarkStart w:id="85" w:name="_Toc211337888"/>
      <w:bookmarkStart w:id="86" w:name="_Toc228963686"/>
      <w:r w:rsidRPr="00746F54">
        <w:rPr>
          <w:rFonts w:ascii="Arial" w:hAnsi="Arial" w:cs="Arial"/>
        </w:rPr>
        <w:t>Outage Coordination Tool</w:t>
      </w:r>
      <w:bookmarkEnd w:id="85"/>
      <w:bookmarkEnd w:id="86"/>
      <w:r w:rsidRPr="00746F54">
        <w:rPr>
          <w:rFonts w:ascii="Arial" w:hAnsi="Arial" w:cs="Arial"/>
        </w:rPr>
        <w:t xml:space="preserve"> </w:t>
      </w:r>
    </w:p>
    <w:p w14:paraId="31EC881A" w14:textId="6BB69BA3" w:rsidR="005B69F3" w:rsidRPr="00746F54" w:rsidRDefault="005B69F3" w:rsidP="005B69F3">
      <w:pPr>
        <w:pStyle w:val="BPM"/>
        <w:spacing w:after="0"/>
        <w:rPr>
          <w:rFonts w:ascii="Arial" w:hAnsi="Arial"/>
        </w:rPr>
      </w:pPr>
      <w:r w:rsidRPr="00746F54">
        <w:rPr>
          <w:rFonts w:ascii="Arial" w:hAnsi="Arial"/>
        </w:rPr>
        <w:t xml:space="preserve">CAISO uses </w:t>
      </w:r>
      <w:proofErr w:type="spellStart"/>
      <w:r w:rsidRPr="00746F54">
        <w:rPr>
          <w:rFonts w:ascii="Arial" w:hAnsi="Arial"/>
        </w:rPr>
        <w:t>WebOMS</w:t>
      </w:r>
      <w:proofErr w:type="spellEnd"/>
      <w:r w:rsidRPr="00746F54">
        <w:rPr>
          <w:rFonts w:ascii="Arial" w:hAnsi="Arial"/>
        </w:rPr>
        <w:t xml:space="preserve"> as the primary mechanism for data necessary to support the Outage Coordination Process. It is expected that all required entities submit outages to </w:t>
      </w:r>
      <w:proofErr w:type="spellStart"/>
      <w:r w:rsidRPr="00746F54">
        <w:rPr>
          <w:rFonts w:ascii="Arial" w:hAnsi="Arial"/>
        </w:rPr>
        <w:t>WebOMS</w:t>
      </w:r>
      <w:proofErr w:type="spellEnd"/>
      <w:r w:rsidRPr="00746F54">
        <w:rPr>
          <w:rFonts w:ascii="Arial" w:hAnsi="Arial"/>
        </w:rPr>
        <w:t xml:space="preserve"> through one of two options: </w:t>
      </w:r>
    </w:p>
    <w:p w14:paraId="5A2E1347" w14:textId="77777777" w:rsidR="005B69F3" w:rsidRPr="00746F54" w:rsidRDefault="005B69F3" w:rsidP="005B69F3">
      <w:pPr>
        <w:pStyle w:val="BPM"/>
        <w:numPr>
          <w:ilvl w:val="0"/>
          <w:numId w:val="91"/>
        </w:numPr>
        <w:spacing w:after="0"/>
        <w:rPr>
          <w:rFonts w:ascii="Arial" w:hAnsi="Arial"/>
        </w:rPr>
      </w:pPr>
      <w:r w:rsidRPr="00746F54">
        <w:rPr>
          <w:rFonts w:ascii="Arial" w:hAnsi="Arial"/>
        </w:rPr>
        <w:t xml:space="preserve">Via the </w:t>
      </w:r>
      <w:proofErr w:type="spellStart"/>
      <w:r w:rsidRPr="00746F54">
        <w:rPr>
          <w:rFonts w:ascii="Arial" w:hAnsi="Arial"/>
        </w:rPr>
        <w:t>WebOMS</w:t>
      </w:r>
      <w:proofErr w:type="spellEnd"/>
      <w:r w:rsidRPr="00746F54">
        <w:rPr>
          <w:rFonts w:ascii="Arial" w:hAnsi="Arial"/>
        </w:rPr>
        <w:t xml:space="preserve"> User Interface (</w:t>
      </w:r>
      <w:proofErr w:type="spellStart"/>
      <w:r w:rsidRPr="00746F54">
        <w:rPr>
          <w:rFonts w:ascii="Arial" w:hAnsi="Arial"/>
        </w:rPr>
        <w:t>WebUI</w:t>
      </w:r>
      <w:proofErr w:type="spellEnd"/>
      <w:r w:rsidRPr="00746F54">
        <w:rPr>
          <w:rFonts w:ascii="Arial" w:hAnsi="Arial"/>
        </w:rPr>
        <w:t xml:space="preserve">), or </w:t>
      </w:r>
    </w:p>
    <w:p w14:paraId="34A66FB9" w14:textId="77777777" w:rsidR="005B69F3" w:rsidRPr="00746F54" w:rsidRDefault="005B69F3" w:rsidP="005B69F3">
      <w:pPr>
        <w:pStyle w:val="BPM"/>
        <w:numPr>
          <w:ilvl w:val="0"/>
          <w:numId w:val="91"/>
        </w:numPr>
        <w:spacing w:after="0"/>
        <w:rPr>
          <w:rFonts w:ascii="Arial" w:hAnsi="Arial"/>
        </w:rPr>
      </w:pPr>
      <w:proofErr w:type="spellStart"/>
      <w:r w:rsidRPr="00746F54">
        <w:rPr>
          <w:rFonts w:ascii="Arial" w:hAnsi="Arial"/>
        </w:rPr>
        <w:t>WebOMS</w:t>
      </w:r>
      <w:proofErr w:type="spellEnd"/>
      <w:r w:rsidRPr="00746F54">
        <w:rPr>
          <w:rFonts w:ascii="Arial" w:hAnsi="Arial"/>
        </w:rPr>
        <w:t xml:space="preserve"> Application Programming Interface (API). </w:t>
      </w:r>
    </w:p>
    <w:p w14:paraId="7018D961" w14:textId="77777777" w:rsidR="005B69F3" w:rsidRPr="00746F54" w:rsidRDefault="005B69F3" w:rsidP="005B69F3">
      <w:pPr>
        <w:pStyle w:val="BPM"/>
        <w:spacing w:after="0"/>
        <w:rPr>
          <w:rFonts w:ascii="Arial" w:hAnsi="Arial"/>
        </w:rPr>
      </w:pPr>
      <w:r w:rsidRPr="00746F54">
        <w:rPr>
          <w:rFonts w:ascii="Arial" w:hAnsi="Arial"/>
          <w:b/>
          <w:bCs/>
        </w:rPr>
        <w:t>Required Outage Information</w:t>
      </w:r>
      <w:r w:rsidRPr="00746F54">
        <w:rPr>
          <w:rFonts w:ascii="Arial" w:hAnsi="Arial"/>
        </w:rPr>
        <w:t xml:space="preserve"> </w:t>
      </w:r>
    </w:p>
    <w:p w14:paraId="045861E4" w14:textId="577DA364" w:rsidR="005B69F3" w:rsidRPr="00746F54" w:rsidRDefault="005B69F3" w:rsidP="005B69F3">
      <w:pPr>
        <w:pStyle w:val="BPM"/>
        <w:spacing w:after="0"/>
        <w:rPr>
          <w:rFonts w:ascii="Arial" w:hAnsi="Arial"/>
        </w:rPr>
      </w:pPr>
      <w:r w:rsidRPr="00746F54">
        <w:rPr>
          <w:rFonts w:ascii="Arial" w:hAnsi="Arial"/>
        </w:rPr>
        <w:t xml:space="preserve">Outage requests cover many different types of work, but must provide the following information to support assessment/studies and coordination: </w:t>
      </w:r>
    </w:p>
    <w:p w14:paraId="4DB020D9" w14:textId="6015A473" w:rsidR="005B69F3" w:rsidRPr="00746F54" w:rsidRDefault="005B69F3" w:rsidP="005B69F3">
      <w:pPr>
        <w:pStyle w:val="BPM"/>
        <w:numPr>
          <w:ilvl w:val="0"/>
          <w:numId w:val="92"/>
        </w:numPr>
        <w:spacing w:after="0"/>
        <w:rPr>
          <w:rFonts w:ascii="Arial" w:hAnsi="Arial"/>
        </w:rPr>
      </w:pPr>
      <w:r w:rsidRPr="00746F54">
        <w:rPr>
          <w:rFonts w:ascii="Arial" w:hAnsi="Arial"/>
        </w:rPr>
        <w:t>Outage start/end dates/</w:t>
      </w:r>
      <w:r w:rsidR="00C95132" w:rsidRPr="00746F54">
        <w:rPr>
          <w:rFonts w:ascii="Arial" w:hAnsi="Arial"/>
        </w:rPr>
        <w:t>times.</w:t>
      </w:r>
    </w:p>
    <w:p w14:paraId="78E9076F" w14:textId="1297CD3E" w:rsidR="005B69F3" w:rsidRPr="00746F54" w:rsidRDefault="005B69F3" w:rsidP="005B69F3">
      <w:pPr>
        <w:pStyle w:val="BPM"/>
        <w:numPr>
          <w:ilvl w:val="1"/>
          <w:numId w:val="92"/>
        </w:numPr>
        <w:spacing w:after="0"/>
        <w:rPr>
          <w:rFonts w:ascii="Arial" w:hAnsi="Arial"/>
        </w:rPr>
      </w:pPr>
      <w:r w:rsidRPr="00746F54">
        <w:rPr>
          <w:rFonts w:ascii="Arial" w:hAnsi="Arial"/>
        </w:rPr>
        <w:t xml:space="preserve">Should be based on the best available information by the BA/TOP and reviewed before EDAM Market </w:t>
      </w:r>
      <w:proofErr w:type="gramStart"/>
      <w:r w:rsidRPr="00746F54">
        <w:rPr>
          <w:rFonts w:ascii="Arial" w:hAnsi="Arial"/>
        </w:rPr>
        <w:t>close</w:t>
      </w:r>
      <w:proofErr w:type="gramEnd"/>
      <w:r w:rsidRPr="00746F54">
        <w:rPr>
          <w:rFonts w:ascii="Arial" w:hAnsi="Arial"/>
        </w:rPr>
        <w:t xml:space="preserve"> at 10</w:t>
      </w:r>
      <w:r w:rsidR="009E79A9">
        <w:rPr>
          <w:rFonts w:ascii="Arial" w:hAnsi="Arial"/>
        </w:rPr>
        <w:t>:</w:t>
      </w:r>
      <w:r w:rsidRPr="00746F54">
        <w:rPr>
          <w:rFonts w:ascii="Arial" w:hAnsi="Arial"/>
        </w:rPr>
        <w:t>00</w:t>
      </w:r>
    </w:p>
    <w:p w14:paraId="1ECF2F07" w14:textId="77777777" w:rsidR="005B69F3" w:rsidRPr="00746F54" w:rsidRDefault="005B69F3" w:rsidP="005B69F3">
      <w:pPr>
        <w:pStyle w:val="BPM"/>
        <w:numPr>
          <w:ilvl w:val="1"/>
          <w:numId w:val="92"/>
        </w:numPr>
        <w:spacing w:after="0"/>
        <w:rPr>
          <w:rFonts w:ascii="Arial" w:hAnsi="Arial"/>
        </w:rPr>
      </w:pPr>
      <w:r w:rsidRPr="00746F54">
        <w:rPr>
          <w:rFonts w:ascii="Arial" w:hAnsi="Arial"/>
        </w:rPr>
        <w:t>See the section “Details of OMS Outage Timing” below for important details</w:t>
      </w:r>
    </w:p>
    <w:p w14:paraId="0D4BE335" w14:textId="77777777" w:rsidR="005B69F3" w:rsidRPr="00746F54" w:rsidRDefault="005B69F3" w:rsidP="005B69F3">
      <w:pPr>
        <w:pStyle w:val="BPM"/>
        <w:numPr>
          <w:ilvl w:val="0"/>
          <w:numId w:val="92"/>
        </w:numPr>
        <w:spacing w:after="0"/>
        <w:rPr>
          <w:rFonts w:ascii="Arial" w:hAnsi="Arial"/>
        </w:rPr>
      </w:pPr>
      <w:r w:rsidRPr="00746F54">
        <w:rPr>
          <w:rFonts w:ascii="Arial" w:hAnsi="Arial"/>
        </w:rPr>
        <w:t>Equipment/Facilities “out-of-service”</w:t>
      </w:r>
    </w:p>
    <w:p w14:paraId="33581C8E" w14:textId="77777777" w:rsidR="005B69F3" w:rsidRPr="00746F54" w:rsidRDefault="005B69F3" w:rsidP="005B69F3">
      <w:pPr>
        <w:pStyle w:val="BPM"/>
        <w:numPr>
          <w:ilvl w:val="0"/>
          <w:numId w:val="92"/>
        </w:numPr>
        <w:spacing w:after="0"/>
        <w:rPr>
          <w:rFonts w:ascii="Arial" w:hAnsi="Arial"/>
        </w:rPr>
      </w:pPr>
      <w:r w:rsidRPr="00746F54">
        <w:rPr>
          <w:rFonts w:ascii="Arial" w:hAnsi="Arial"/>
        </w:rPr>
        <w:t>Clearance or switching boundaries</w:t>
      </w:r>
    </w:p>
    <w:p w14:paraId="564C452F" w14:textId="55DD6B99" w:rsidR="005B69F3" w:rsidRPr="00746F54" w:rsidRDefault="005B69F3" w:rsidP="005B69F3">
      <w:pPr>
        <w:pStyle w:val="BPM"/>
        <w:numPr>
          <w:ilvl w:val="1"/>
          <w:numId w:val="92"/>
        </w:numPr>
        <w:spacing w:after="0"/>
        <w:rPr>
          <w:rFonts w:ascii="Arial" w:hAnsi="Arial"/>
        </w:rPr>
      </w:pPr>
      <w:r w:rsidRPr="00746F54">
        <w:rPr>
          <w:rFonts w:ascii="Arial" w:hAnsi="Arial"/>
        </w:rPr>
        <w:t xml:space="preserve">Exact switching can be very important to the market solution, especially in cases of overlapping outages or outages on or </w:t>
      </w:r>
      <w:proofErr w:type="gramStart"/>
      <w:r w:rsidRPr="00746F54">
        <w:rPr>
          <w:rFonts w:ascii="Arial" w:hAnsi="Arial"/>
        </w:rPr>
        <w:t>near tie</w:t>
      </w:r>
      <w:proofErr w:type="gramEnd"/>
      <w:r w:rsidRPr="00746F54">
        <w:rPr>
          <w:rFonts w:ascii="Arial" w:hAnsi="Arial"/>
        </w:rPr>
        <w:t xml:space="preserve"> lines.  Any normally open station equipment that will be closed as part of the outage should be modeled in the OMS card (</w:t>
      </w:r>
      <w:r w:rsidR="00A62A99" w:rsidRPr="00746F54">
        <w:rPr>
          <w:rFonts w:ascii="Arial" w:hAnsi="Arial"/>
        </w:rPr>
        <w:t>e.g.</w:t>
      </w:r>
      <w:r w:rsidRPr="00746F54">
        <w:rPr>
          <w:rFonts w:ascii="Arial" w:hAnsi="Arial"/>
        </w:rPr>
        <w:t>: a bus tie breaker closed to support the outage).</w:t>
      </w:r>
    </w:p>
    <w:p w14:paraId="4706EE7F" w14:textId="77777777" w:rsidR="005B69F3" w:rsidRPr="00746F54" w:rsidRDefault="005B69F3" w:rsidP="005B69F3">
      <w:pPr>
        <w:pStyle w:val="BPM"/>
        <w:numPr>
          <w:ilvl w:val="0"/>
          <w:numId w:val="92"/>
        </w:numPr>
        <w:spacing w:after="0"/>
        <w:rPr>
          <w:rFonts w:ascii="Arial" w:hAnsi="Arial"/>
        </w:rPr>
      </w:pPr>
      <w:r w:rsidRPr="00746F54">
        <w:rPr>
          <w:rFonts w:ascii="Arial" w:hAnsi="Arial"/>
        </w:rPr>
        <w:t>Name of requesting BA/TOP</w:t>
      </w:r>
    </w:p>
    <w:p w14:paraId="6FF8507B" w14:textId="77777777" w:rsidR="005B69F3" w:rsidRPr="00746F54" w:rsidRDefault="005B69F3" w:rsidP="005B69F3">
      <w:pPr>
        <w:pStyle w:val="BPM"/>
        <w:numPr>
          <w:ilvl w:val="0"/>
          <w:numId w:val="92"/>
        </w:numPr>
        <w:spacing w:after="0"/>
        <w:rPr>
          <w:rFonts w:ascii="Arial" w:hAnsi="Arial"/>
        </w:rPr>
      </w:pPr>
      <w:r w:rsidRPr="00746F54">
        <w:rPr>
          <w:rFonts w:ascii="Arial" w:hAnsi="Arial"/>
        </w:rPr>
        <w:t>Supporting operating plan(s) as needed</w:t>
      </w:r>
    </w:p>
    <w:p w14:paraId="2434706D" w14:textId="26A23447" w:rsidR="005B69F3" w:rsidRPr="00746F54" w:rsidRDefault="005B69F3" w:rsidP="005B69F3">
      <w:pPr>
        <w:pStyle w:val="BPM"/>
        <w:numPr>
          <w:ilvl w:val="1"/>
          <w:numId w:val="92"/>
        </w:numPr>
        <w:spacing w:after="0"/>
        <w:rPr>
          <w:rFonts w:ascii="Arial" w:hAnsi="Arial"/>
        </w:rPr>
      </w:pPr>
      <w:r w:rsidRPr="00746F54">
        <w:rPr>
          <w:rFonts w:ascii="Arial" w:hAnsi="Arial"/>
        </w:rPr>
        <w:t>If additional equipment status changes beyond the outage clearance are planned for mitigation, those should be submitted in an OMS card.</w:t>
      </w:r>
    </w:p>
    <w:p w14:paraId="7C06AEF2" w14:textId="77777777" w:rsidR="005B69F3" w:rsidRPr="00746F54" w:rsidRDefault="005B69F3" w:rsidP="005B69F3">
      <w:pPr>
        <w:pStyle w:val="BPM"/>
        <w:numPr>
          <w:ilvl w:val="0"/>
          <w:numId w:val="92"/>
        </w:numPr>
        <w:spacing w:after="0"/>
        <w:rPr>
          <w:rFonts w:ascii="Arial" w:hAnsi="Arial"/>
        </w:rPr>
      </w:pPr>
      <w:r w:rsidRPr="00746F54">
        <w:rPr>
          <w:rFonts w:ascii="Arial" w:hAnsi="Arial"/>
        </w:rPr>
        <w:t>Outage Type, listed from highest to lowest priority</w:t>
      </w:r>
    </w:p>
    <w:p w14:paraId="27726AAF" w14:textId="032775CE" w:rsidR="005B69F3" w:rsidRPr="00746F54" w:rsidRDefault="005B69F3" w:rsidP="005B69F3">
      <w:pPr>
        <w:pStyle w:val="BPM"/>
        <w:numPr>
          <w:ilvl w:val="1"/>
          <w:numId w:val="92"/>
        </w:numPr>
        <w:spacing w:after="0"/>
        <w:rPr>
          <w:rFonts w:ascii="Arial" w:hAnsi="Arial"/>
        </w:rPr>
      </w:pPr>
      <w:r w:rsidRPr="00746F54">
        <w:rPr>
          <w:rFonts w:ascii="Arial" w:hAnsi="Arial"/>
          <w:b/>
          <w:bCs/>
        </w:rPr>
        <w:t>Forced</w:t>
      </w:r>
      <w:r w:rsidRPr="00746F54">
        <w:rPr>
          <w:rFonts w:ascii="Arial" w:hAnsi="Arial"/>
        </w:rPr>
        <w:t xml:space="preserve"> - Facility/equipment that is removed from service in real time with limited or no notice.  Submissions are required to have a scheduled end time based on the best information available at the time. It is expected that submitters update the scheduled end time of a forced outage as information becomes available.</w:t>
      </w:r>
    </w:p>
    <w:p w14:paraId="6B737D49" w14:textId="1BDF2466" w:rsidR="005B69F3" w:rsidRPr="00746F54" w:rsidRDefault="005B69F3" w:rsidP="005B69F3">
      <w:pPr>
        <w:pStyle w:val="BPM"/>
        <w:numPr>
          <w:ilvl w:val="1"/>
          <w:numId w:val="92"/>
        </w:numPr>
        <w:spacing w:after="0"/>
        <w:rPr>
          <w:rFonts w:ascii="Arial" w:hAnsi="Arial"/>
        </w:rPr>
      </w:pPr>
      <w:r w:rsidRPr="00746F54">
        <w:rPr>
          <w:rFonts w:ascii="Arial" w:hAnsi="Arial"/>
          <w:b/>
          <w:bCs/>
        </w:rPr>
        <w:t>Urgent</w:t>
      </w:r>
      <w:r w:rsidRPr="00746F54">
        <w:rPr>
          <w:rFonts w:ascii="Arial" w:hAnsi="Arial"/>
        </w:rPr>
        <w:t xml:space="preserve"> - Facility/equipment that is known to be operable, yet carries an increased risk of a forced outage occurring. Facility/equipment remains in service until personnel, equipment and/or system conditions allow the outage to occur.</w:t>
      </w:r>
    </w:p>
    <w:p w14:paraId="489A3ED3" w14:textId="77777777" w:rsidR="005B69F3" w:rsidRPr="00746F54" w:rsidRDefault="005B69F3" w:rsidP="005B69F3">
      <w:pPr>
        <w:pStyle w:val="BPM"/>
        <w:numPr>
          <w:ilvl w:val="1"/>
          <w:numId w:val="92"/>
        </w:numPr>
        <w:spacing w:after="0"/>
        <w:rPr>
          <w:rFonts w:ascii="Arial" w:hAnsi="Arial"/>
        </w:rPr>
      </w:pPr>
      <w:r w:rsidRPr="00746F54">
        <w:rPr>
          <w:rFonts w:ascii="Arial" w:hAnsi="Arial"/>
          <w:b/>
          <w:bCs/>
        </w:rPr>
        <w:t>Operational</w:t>
      </w:r>
      <w:r w:rsidRPr="00746F54">
        <w:rPr>
          <w:rFonts w:ascii="Arial" w:hAnsi="Arial"/>
        </w:rPr>
        <w:t xml:space="preserve"> - Transmission Facility/equipment that is removed from service to support system reliability but remains available if needed upon short notice.  </w:t>
      </w:r>
      <w:r w:rsidRPr="00746F54">
        <w:rPr>
          <w:rFonts w:ascii="Arial" w:hAnsi="Arial"/>
        </w:rPr>
        <w:lastRenderedPageBreak/>
        <w:t>Work is not being performed on the equipment/facility, but may be part of an operating plan.</w:t>
      </w:r>
    </w:p>
    <w:p w14:paraId="6068EE4E" w14:textId="10C548C3" w:rsidR="005B69F3" w:rsidRPr="00746F54" w:rsidRDefault="005B69F3" w:rsidP="005B69F3">
      <w:pPr>
        <w:pStyle w:val="BPM"/>
        <w:numPr>
          <w:ilvl w:val="1"/>
          <w:numId w:val="92"/>
        </w:numPr>
        <w:spacing w:after="0"/>
        <w:rPr>
          <w:rFonts w:ascii="Arial" w:hAnsi="Arial"/>
        </w:rPr>
      </w:pPr>
      <w:r w:rsidRPr="00746F54">
        <w:rPr>
          <w:rFonts w:ascii="Arial" w:hAnsi="Arial"/>
          <w:b/>
          <w:bCs/>
        </w:rPr>
        <w:t>Planned</w:t>
      </w:r>
      <w:r w:rsidRPr="00746F54">
        <w:rPr>
          <w:rFonts w:ascii="Arial" w:hAnsi="Arial"/>
        </w:rPr>
        <w:t xml:space="preserve"> - Facility/equipment outage with enough advance notice to meet short-range submittal requirements (submitted with at least seven </w:t>
      </w:r>
      <w:proofErr w:type="spellStart"/>
      <w:r w:rsidRPr="00746F54">
        <w:rPr>
          <w:rFonts w:ascii="Arial" w:hAnsi="Arial"/>
        </w:rPr>
        <w:t>days notice</w:t>
      </w:r>
      <w:proofErr w:type="spellEnd"/>
      <w:r w:rsidRPr="00746F54">
        <w:rPr>
          <w:rFonts w:ascii="Arial" w:hAnsi="Arial"/>
        </w:rPr>
        <w:t>).</w:t>
      </w:r>
    </w:p>
    <w:p w14:paraId="348B1561" w14:textId="7B852B04" w:rsidR="005B69F3" w:rsidRPr="00746F54" w:rsidRDefault="005B69F3" w:rsidP="005B69F3">
      <w:pPr>
        <w:pStyle w:val="BPM"/>
        <w:numPr>
          <w:ilvl w:val="1"/>
          <w:numId w:val="92"/>
        </w:numPr>
        <w:spacing w:after="0"/>
        <w:rPr>
          <w:rFonts w:ascii="Arial" w:hAnsi="Arial"/>
        </w:rPr>
      </w:pPr>
      <w:r w:rsidRPr="00746F54">
        <w:rPr>
          <w:rFonts w:ascii="Arial" w:hAnsi="Arial"/>
          <w:b/>
          <w:bCs/>
        </w:rPr>
        <w:t>Opportunity</w:t>
      </w:r>
      <w:r w:rsidRPr="00746F54">
        <w:rPr>
          <w:rFonts w:ascii="Arial" w:hAnsi="Arial"/>
        </w:rPr>
        <w:t xml:space="preserve"> – Outages submitted after the planning horizon (less than seven </w:t>
      </w:r>
      <w:proofErr w:type="spellStart"/>
      <w:r w:rsidRPr="00746F54">
        <w:rPr>
          <w:rFonts w:ascii="Arial" w:hAnsi="Arial"/>
        </w:rPr>
        <w:t>days notice</w:t>
      </w:r>
      <w:proofErr w:type="spellEnd"/>
      <w:r w:rsidRPr="00746F54">
        <w:rPr>
          <w:rFonts w:ascii="Arial" w:hAnsi="Arial"/>
        </w:rPr>
        <w:t>).  Subject to lower priority and stricter criteria than planned outages.</w:t>
      </w:r>
    </w:p>
    <w:p w14:paraId="56C00B6B" w14:textId="77777777" w:rsidR="005B69F3" w:rsidRPr="00746F54" w:rsidRDefault="005B69F3" w:rsidP="005B69F3">
      <w:pPr>
        <w:pStyle w:val="BPM"/>
        <w:numPr>
          <w:ilvl w:val="1"/>
          <w:numId w:val="92"/>
        </w:numPr>
        <w:spacing w:after="0"/>
        <w:rPr>
          <w:rFonts w:ascii="Arial" w:hAnsi="Arial"/>
        </w:rPr>
      </w:pPr>
      <w:r w:rsidRPr="00746F54">
        <w:rPr>
          <w:rFonts w:ascii="Arial" w:hAnsi="Arial"/>
          <w:b/>
          <w:bCs/>
        </w:rPr>
        <w:t>Informational</w:t>
      </w:r>
      <w:r w:rsidRPr="00746F54">
        <w:rPr>
          <w:rFonts w:ascii="Arial" w:hAnsi="Arial"/>
        </w:rPr>
        <w:t xml:space="preserve"> – Submitted for situational awareness, generally not impactful for EDAM</w:t>
      </w:r>
    </w:p>
    <w:p w14:paraId="2082F844" w14:textId="77777777" w:rsidR="005B69F3" w:rsidRPr="00746F54" w:rsidRDefault="005B69F3" w:rsidP="005B69F3">
      <w:pPr>
        <w:pStyle w:val="BPM"/>
        <w:numPr>
          <w:ilvl w:val="0"/>
          <w:numId w:val="92"/>
        </w:numPr>
        <w:spacing w:after="0"/>
        <w:rPr>
          <w:rFonts w:ascii="Arial" w:hAnsi="Arial"/>
        </w:rPr>
      </w:pPr>
      <w:r w:rsidRPr="00746F54">
        <w:rPr>
          <w:rFonts w:ascii="Arial" w:hAnsi="Arial"/>
        </w:rPr>
        <w:t xml:space="preserve">Outage status </w:t>
      </w:r>
    </w:p>
    <w:p w14:paraId="5B7B0DDC" w14:textId="77777777" w:rsidR="005B69F3" w:rsidRPr="00746F54" w:rsidRDefault="005B69F3" w:rsidP="005B69F3">
      <w:pPr>
        <w:pStyle w:val="BPM"/>
        <w:numPr>
          <w:ilvl w:val="1"/>
          <w:numId w:val="92"/>
        </w:numPr>
        <w:spacing w:after="0"/>
        <w:rPr>
          <w:rFonts w:ascii="Arial" w:hAnsi="Arial"/>
        </w:rPr>
      </w:pPr>
      <w:r w:rsidRPr="00746F54">
        <w:rPr>
          <w:rFonts w:ascii="Arial" w:hAnsi="Arial"/>
        </w:rPr>
        <w:t>Considered out of service in EDAM runs:</w:t>
      </w:r>
    </w:p>
    <w:p w14:paraId="1ACFA3DD" w14:textId="77777777" w:rsidR="005B69F3" w:rsidRPr="00746F54" w:rsidRDefault="005B69F3" w:rsidP="005B69F3">
      <w:pPr>
        <w:pStyle w:val="BPM"/>
        <w:numPr>
          <w:ilvl w:val="2"/>
          <w:numId w:val="92"/>
        </w:numPr>
        <w:spacing w:after="0"/>
        <w:rPr>
          <w:rFonts w:ascii="Arial" w:hAnsi="Arial"/>
          <w:b/>
          <w:bCs/>
        </w:rPr>
      </w:pPr>
      <w:r w:rsidRPr="00746F54">
        <w:rPr>
          <w:rFonts w:ascii="Arial" w:hAnsi="Arial"/>
          <w:b/>
          <w:bCs/>
        </w:rPr>
        <w:t xml:space="preserve">Approved – </w:t>
      </w:r>
      <w:r w:rsidRPr="00746F54">
        <w:rPr>
          <w:rFonts w:ascii="Arial" w:hAnsi="Arial"/>
        </w:rPr>
        <w:t>Studied and approved by RC west</w:t>
      </w:r>
    </w:p>
    <w:p w14:paraId="2ACE2130" w14:textId="77777777" w:rsidR="005B69F3" w:rsidRPr="00746F54" w:rsidRDefault="005B69F3" w:rsidP="005B69F3">
      <w:pPr>
        <w:pStyle w:val="BPM"/>
        <w:numPr>
          <w:ilvl w:val="2"/>
          <w:numId w:val="92"/>
        </w:numPr>
        <w:spacing w:after="0"/>
        <w:rPr>
          <w:rFonts w:ascii="Arial" w:hAnsi="Arial"/>
        </w:rPr>
      </w:pPr>
      <w:r w:rsidRPr="00746F54">
        <w:rPr>
          <w:rFonts w:ascii="Arial" w:hAnsi="Arial"/>
          <w:b/>
          <w:bCs/>
        </w:rPr>
        <w:t>Out</w:t>
      </w:r>
      <w:r w:rsidRPr="00746F54">
        <w:rPr>
          <w:rFonts w:ascii="Arial" w:hAnsi="Arial"/>
        </w:rPr>
        <w:t xml:space="preserve"> – Outage currently underway</w:t>
      </w:r>
    </w:p>
    <w:p w14:paraId="40DC085A" w14:textId="77777777" w:rsidR="005B69F3" w:rsidRPr="00746F54" w:rsidRDefault="005B69F3" w:rsidP="005B69F3">
      <w:pPr>
        <w:pStyle w:val="BPM"/>
        <w:numPr>
          <w:ilvl w:val="2"/>
          <w:numId w:val="92"/>
        </w:numPr>
        <w:spacing w:after="0"/>
        <w:rPr>
          <w:rFonts w:ascii="Arial" w:hAnsi="Arial"/>
        </w:rPr>
      </w:pPr>
      <w:r w:rsidRPr="00746F54">
        <w:rPr>
          <w:rFonts w:ascii="Arial" w:hAnsi="Arial"/>
          <w:b/>
          <w:bCs/>
        </w:rPr>
        <w:t>Study</w:t>
      </w:r>
      <w:r w:rsidRPr="00746F54">
        <w:rPr>
          <w:rFonts w:ascii="Arial" w:hAnsi="Arial"/>
        </w:rPr>
        <w:t xml:space="preserve"> – Outage still under RC West review, but will be considered in the EDAM run and OPA </w:t>
      </w:r>
    </w:p>
    <w:p w14:paraId="32F2E183" w14:textId="5A5B3E15" w:rsidR="005B69F3" w:rsidRPr="00746F54" w:rsidRDefault="005B69F3" w:rsidP="005B69F3">
      <w:pPr>
        <w:pStyle w:val="BPM"/>
        <w:numPr>
          <w:ilvl w:val="2"/>
          <w:numId w:val="92"/>
        </w:numPr>
        <w:spacing w:after="0"/>
        <w:rPr>
          <w:rFonts w:ascii="Arial" w:hAnsi="Arial"/>
        </w:rPr>
      </w:pPr>
      <w:r w:rsidRPr="00746F54">
        <w:rPr>
          <w:rFonts w:ascii="Arial" w:hAnsi="Arial"/>
          <w:b/>
          <w:bCs/>
        </w:rPr>
        <w:t>Submitted</w:t>
      </w:r>
      <w:r w:rsidRPr="00746F54">
        <w:rPr>
          <w:rFonts w:ascii="Arial" w:hAnsi="Arial"/>
        </w:rPr>
        <w:t xml:space="preserve"> – Submitted by the BA/TOP but has not been reviewed by RC West</w:t>
      </w:r>
    </w:p>
    <w:p w14:paraId="2AC22D31" w14:textId="77777777" w:rsidR="005B69F3" w:rsidRPr="00746F54" w:rsidRDefault="005B69F3" w:rsidP="005B69F3">
      <w:pPr>
        <w:pStyle w:val="BPM"/>
        <w:numPr>
          <w:ilvl w:val="1"/>
          <w:numId w:val="92"/>
        </w:numPr>
        <w:spacing w:after="0"/>
        <w:rPr>
          <w:rFonts w:ascii="Arial" w:hAnsi="Arial"/>
        </w:rPr>
      </w:pPr>
      <w:r w:rsidRPr="00746F54">
        <w:rPr>
          <w:rFonts w:ascii="Arial" w:hAnsi="Arial"/>
        </w:rPr>
        <w:t>Not considered in EDAM runs:</w:t>
      </w:r>
    </w:p>
    <w:p w14:paraId="6ECC05A4" w14:textId="32CC0960" w:rsidR="005B69F3" w:rsidRPr="00746F54" w:rsidRDefault="005B69F3" w:rsidP="005B69F3">
      <w:pPr>
        <w:pStyle w:val="BPM"/>
        <w:numPr>
          <w:ilvl w:val="2"/>
          <w:numId w:val="92"/>
        </w:numPr>
        <w:spacing w:after="0"/>
        <w:rPr>
          <w:rFonts w:ascii="Arial" w:hAnsi="Arial"/>
        </w:rPr>
      </w:pPr>
      <w:r w:rsidRPr="00746F54">
        <w:rPr>
          <w:rFonts w:ascii="Arial" w:hAnsi="Arial"/>
          <w:b/>
          <w:bCs/>
        </w:rPr>
        <w:t>Denied</w:t>
      </w:r>
      <w:r w:rsidRPr="00746F54">
        <w:rPr>
          <w:rFonts w:ascii="Arial" w:hAnsi="Arial"/>
        </w:rPr>
        <w:t xml:space="preserve"> – Outages determined to cause reliability issues that </w:t>
      </w:r>
      <w:r w:rsidR="00C95132" w:rsidRPr="00746F54">
        <w:rPr>
          <w:rFonts w:ascii="Arial" w:hAnsi="Arial"/>
        </w:rPr>
        <w:t>cannot</w:t>
      </w:r>
      <w:r w:rsidRPr="00746F54">
        <w:rPr>
          <w:rFonts w:ascii="Arial" w:hAnsi="Arial"/>
        </w:rPr>
        <w:t xml:space="preserve"> be adequately mitigated according to the study process. (only applicable to RC West entities)</w:t>
      </w:r>
    </w:p>
    <w:p w14:paraId="24014769" w14:textId="77777777" w:rsidR="005B69F3" w:rsidRPr="00746F54" w:rsidRDefault="005B69F3" w:rsidP="005B69F3">
      <w:pPr>
        <w:pStyle w:val="BPM"/>
        <w:numPr>
          <w:ilvl w:val="2"/>
          <w:numId w:val="92"/>
        </w:numPr>
        <w:spacing w:after="0"/>
        <w:rPr>
          <w:rFonts w:ascii="Arial" w:hAnsi="Arial"/>
        </w:rPr>
      </w:pPr>
      <w:r w:rsidRPr="00746F54">
        <w:rPr>
          <w:rFonts w:ascii="Arial" w:hAnsi="Arial"/>
          <w:b/>
          <w:bCs/>
        </w:rPr>
        <w:t>Conflict Identified</w:t>
      </w:r>
      <w:r w:rsidRPr="00746F54">
        <w:rPr>
          <w:rFonts w:ascii="Arial" w:hAnsi="Arial"/>
        </w:rPr>
        <w:t xml:space="preserve"> – Indicates that this outage has been determined to cause reliability issues by RC West but may be rescheduled subject to coordination with the market operator and RC West (only applicable to RC West entities).  </w:t>
      </w:r>
    </w:p>
    <w:p w14:paraId="601D5119" w14:textId="77777777" w:rsidR="005B69F3" w:rsidRPr="00746F54" w:rsidRDefault="005B69F3" w:rsidP="005B69F3">
      <w:pPr>
        <w:pStyle w:val="BPM"/>
        <w:numPr>
          <w:ilvl w:val="2"/>
          <w:numId w:val="92"/>
        </w:numPr>
        <w:spacing w:after="0"/>
        <w:rPr>
          <w:rFonts w:ascii="Arial" w:hAnsi="Arial"/>
        </w:rPr>
      </w:pPr>
      <w:r w:rsidRPr="00746F54">
        <w:rPr>
          <w:rFonts w:ascii="Arial" w:hAnsi="Arial"/>
          <w:b/>
          <w:bCs/>
        </w:rPr>
        <w:t>In Service Editable</w:t>
      </w:r>
      <w:r w:rsidRPr="00746F54">
        <w:rPr>
          <w:rFonts w:ascii="Arial" w:hAnsi="Arial"/>
        </w:rPr>
        <w:t xml:space="preserve"> – Indicated a completed outage.  For EDAM purposes, the planned end time is automatically changed to match the actual end time.</w:t>
      </w:r>
    </w:p>
    <w:p w14:paraId="5FBD10A2" w14:textId="77777777" w:rsidR="005B69F3" w:rsidRPr="00746F54" w:rsidRDefault="005B69F3" w:rsidP="005B69F3">
      <w:pPr>
        <w:pStyle w:val="BPM"/>
        <w:numPr>
          <w:ilvl w:val="2"/>
          <w:numId w:val="92"/>
        </w:numPr>
        <w:spacing w:after="0"/>
        <w:rPr>
          <w:rFonts w:ascii="Arial" w:hAnsi="Arial"/>
        </w:rPr>
      </w:pPr>
      <w:r w:rsidRPr="00746F54">
        <w:rPr>
          <w:rFonts w:ascii="Arial" w:hAnsi="Arial"/>
          <w:b/>
          <w:bCs/>
        </w:rPr>
        <w:t>Cancelled</w:t>
      </w:r>
      <w:r w:rsidRPr="00746F54">
        <w:rPr>
          <w:rFonts w:ascii="Arial" w:hAnsi="Arial"/>
        </w:rPr>
        <w:t xml:space="preserve"> – Outage voluntarily cancelled by the BAA/TOP.</w:t>
      </w:r>
    </w:p>
    <w:p w14:paraId="73340DE9" w14:textId="77777777" w:rsidR="005B69F3" w:rsidRPr="00746F54" w:rsidRDefault="005B69F3" w:rsidP="005B69F3">
      <w:pPr>
        <w:pStyle w:val="BPM"/>
        <w:numPr>
          <w:ilvl w:val="0"/>
          <w:numId w:val="92"/>
        </w:numPr>
        <w:spacing w:after="0"/>
        <w:rPr>
          <w:rFonts w:ascii="Arial" w:hAnsi="Arial"/>
        </w:rPr>
      </w:pPr>
      <w:r w:rsidRPr="00746F54">
        <w:rPr>
          <w:rFonts w:ascii="Arial" w:hAnsi="Arial"/>
        </w:rPr>
        <w:t xml:space="preserve">Continuous vs. </w:t>
      </w:r>
      <w:proofErr w:type="gramStart"/>
      <w:r w:rsidRPr="00746F54">
        <w:rPr>
          <w:rFonts w:ascii="Arial" w:hAnsi="Arial"/>
        </w:rPr>
        <w:t>Non-Continuous</w:t>
      </w:r>
      <w:proofErr w:type="gramEnd"/>
      <w:r w:rsidRPr="00746F54">
        <w:rPr>
          <w:rFonts w:ascii="Arial" w:hAnsi="Arial"/>
        </w:rPr>
        <w:t xml:space="preserve"> (optional; default to Continuous)</w:t>
      </w:r>
    </w:p>
    <w:p w14:paraId="2F069589" w14:textId="77777777" w:rsidR="005B69F3" w:rsidRPr="00746F54" w:rsidRDefault="005B69F3" w:rsidP="005B69F3">
      <w:pPr>
        <w:pStyle w:val="BPM"/>
        <w:numPr>
          <w:ilvl w:val="1"/>
          <w:numId w:val="92"/>
        </w:numPr>
        <w:spacing w:after="0"/>
        <w:rPr>
          <w:rFonts w:ascii="Arial" w:hAnsi="Arial"/>
        </w:rPr>
      </w:pPr>
      <w:r w:rsidRPr="00746F54">
        <w:rPr>
          <w:rFonts w:ascii="Arial" w:hAnsi="Arial"/>
        </w:rPr>
        <w:t>If the outage is submitted as non-continuous then all applicable market impacts and equipment rating changes (ERC) are enforced only during the timeframe where the outage is in effect.</w:t>
      </w:r>
    </w:p>
    <w:p w14:paraId="2AA38635" w14:textId="77777777" w:rsidR="005B69F3" w:rsidRPr="00746F54" w:rsidRDefault="005B69F3" w:rsidP="005B69F3">
      <w:pPr>
        <w:pStyle w:val="BPM"/>
        <w:spacing w:after="0"/>
        <w:rPr>
          <w:rFonts w:ascii="Arial" w:hAnsi="Arial"/>
          <w:b/>
          <w:bCs/>
        </w:rPr>
      </w:pPr>
    </w:p>
    <w:p w14:paraId="5E606622" w14:textId="77777777" w:rsidR="005B69F3" w:rsidRPr="00746F54" w:rsidRDefault="005B69F3" w:rsidP="005B69F3">
      <w:pPr>
        <w:pStyle w:val="BPM"/>
        <w:spacing w:after="0"/>
        <w:rPr>
          <w:rFonts w:ascii="Arial" w:hAnsi="Arial"/>
          <w:b/>
          <w:bCs/>
        </w:rPr>
      </w:pPr>
      <w:r w:rsidRPr="00746F54">
        <w:rPr>
          <w:rFonts w:ascii="Arial" w:hAnsi="Arial"/>
          <w:b/>
          <w:bCs/>
        </w:rPr>
        <w:t xml:space="preserve">Constraint Modeling in </w:t>
      </w:r>
      <w:proofErr w:type="spellStart"/>
      <w:r w:rsidRPr="00746F54">
        <w:rPr>
          <w:rFonts w:ascii="Arial" w:hAnsi="Arial"/>
          <w:b/>
          <w:bCs/>
        </w:rPr>
        <w:t>WebOMS</w:t>
      </w:r>
      <w:proofErr w:type="spellEnd"/>
    </w:p>
    <w:p w14:paraId="333B201C" w14:textId="62C4797E" w:rsidR="005B69F3" w:rsidRPr="00746F54" w:rsidRDefault="005B69F3" w:rsidP="005B69F3">
      <w:pPr>
        <w:pStyle w:val="BPM"/>
        <w:spacing w:after="0"/>
        <w:rPr>
          <w:rFonts w:ascii="Arial" w:hAnsi="Arial"/>
        </w:rPr>
      </w:pPr>
      <w:r w:rsidRPr="00746F54">
        <w:rPr>
          <w:rFonts w:ascii="Arial" w:hAnsi="Arial"/>
        </w:rPr>
        <w:t>In addition to the required information listed above, the EDAM entity should provide market information in the form of constraint activation and conformances associated with the appropriate outage card. This market information should be provided as soon as possible to ensure proper modeling coordination with the market operator before the final Day-Ahead Market runs.  More details can be found in Section 18.2.2 EDAM Constraint Definitions.</w:t>
      </w:r>
    </w:p>
    <w:p w14:paraId="7E4BB260" w14:textId="77777777" w:rsidR="005B69F3" w:rsidRPr="00746F54" w:rsidRDefault="005B69F3" w:rsidP="005B69F3">
      <w:pPr>
        <w:pStyle w:val="BPM"/>
        <w:spacing w:after="0"/>
        <w:rPr>
          <w:rFonts w:ascii="Arial" w:hAnsi="Arial"/>
        </w:rPr>
      </w:pPr>
    </w:p>
    <w:p w14:paraId="390715C5" w14:textId="77777777" w:rsidR="005B69F3" w:rsidRPr="00746F54" w:rsidRDefault="005B69F3" w:rsidP="005B69F3">
      <w:pPr>
        <w:pStyle w:val="BPM"/>
        <w:spacing w:after="0"/>
        <w:rPr>
          <w:rFonts w:ascii="Arial" w:hAnsi="Arial"/>
          <w:b/>
          <w:bCs/>
        </w:rPr>
      </w:pPr>
      <w:r w:rsidRPr="00746F54">
        <w:rPr>
          <w:rFonts w:ascii="Arial" w:hAnsi="Arial"/>
          <w:b/>
          <w:bCs/>
        </w:rPr>
        <w:t>Details of OMS Outage Timing</w:t>
      </w:r>
    </w:p>
    <w:p w14:paraId="5FDAFB02" w14:textId="4C0DD99A" w:rsidR="005B69F3" w:rsidRPr="00746F54" w:rsidRDefault="005B69F3" w:rsidP="005B69F3">
      <w:pPr>
        <w:pStyle w:val="BPM"/>
        <w:spacing w:after="0"/>
        <w:rPr>
          <w:rFonts w:ascii="Arial" w:hAnsi="Arial"/>
        </w:rPr>
      </w:pPr>
      <w:r w:rsidRPr="00746F54">
        <w:rPr>
          <w:rFonts w:ascii="Arial" w:hAnsi="Arial"/>
        </w:rPr>
        <w:t xml:space="preserve">For both transmission and generation outages in the day-ahead timeframe, or the outage to be considered </w:t>
      </w:r>
      <w:proofErr w:type="gramStart"/>
      <w:r w:rsidRPr="00746F54">
        <w:rPr>
          <w:rFonts w:ascii="Arial" w:hAnsi="Arial"/>
        </w:rPr>
        <w:t>in a given</w:t>
      </w:r>
      <w:proofErr w:type="gramEnd"/>
      <w:r w:rsidRPr="00746F54">
        <w:rPr>
          <w:rFonts w:ascii="Arial" w:hAnsi="Arial"/>
        </w:rPr>
        <w:t xml:space="preserve"> hour, the outage must start either before or equal to the start time of the given hour and last for at least 60 min.  For the outage end time, the outage is still considered effective until the top of the given hour (XX:00).  For example, should an </w:t>
      </w:r>
      <w:proofErr w:type="gramStart"/>
      <w:r w:rsidRPr="00746F54">
        <w:rPr>
          <w:rFonts w:ascii="Arial" w:hAnsi="Arial"/>
        </w:rPr>
        <w:t>outage</w:t>
      </w:r>
      <w:proofErr w:type="gramEnd"/>
      <w:r w:rsidRPr="00746F54">
        <w:rPr>
          <w:rFonts w:ascii="Arial" w:hAnsi="Arial"/>
        </w:rPr>
        <w:t xml:space="preserve"> start at 18:00, the Day-Ahead would consider the start time 18:00, as referred to as HE19.  However, should the start time of outage equal 18:01, the Day-Ahead would consider the outage not in effect for HE19 and starting HE20.   Note that it is possible to schedule a real-time outage up to </w:t>
      </w:r>
      <w:proofErr w:type="gramStart"/>
      <w:r w:rsidRPr="00746F54">
        <w:rPr>
          <w:rFonts w:ascii="Arial" w:hAnsi="Arial"/>
        </w:rPr>
        <w:t>59-minutes</w:t>
      </w:r>
      <w:proofErr w:type="gramEnd"/>
      <w:r w:rsidRPr="00746F54">
        <w:rPr>
          <w:rFonts w:ascii="Arial" w:hAnsi="Arial"/>
        </w:rPr>
        <w:t xml:space="preserve"> not observable in Day Ahead.  Below are additional examples:  </w:t>
      </w:r>
    </w:p>
    <w:p w14:paraId="6EDC70C3" w14:textId="77777777" w:rsidR="005B69F3" w:rsidRPr="00746F54" w:rsidRDefault="005B69F3" w:rsidP="005B69F3">
      <w:pPr>
        <w:pStyle w:val="BPM"/>
        <w:spacing w:after="0"/>
        <w:rPr>
          <w:rFonts w:ascii="Arial" w:hAnsi="Arial"/>
        </w:rPr>
      </w:pPr>
    </w:p>
    <w:tbl>
      <w:tblPr>
        <w:tblW w:w="0" w:type="auto"/>
        <w:tblCellMar>
          <w:left w:w="0" w:type="dxa"/>
          <w:right w:w="0" w:type="dxa"/>
        </w:tblCellMar>
        <w:tblLook w:val="04A0" w:firstRow="1" w:lastRow="0" w:firstColumn="1" w:lastColumn="0" w:noHBand="0" w:noVBand="1"/>
      </w:tblPr>
      <w:tblGrid>
        <w:gridCol w:w="3113"/>
        <w:gridCol w:w="3113"/>
        <w:gridCol w:w="3114"/>
      </w:tblGrid>
      <w:tr w:rsidR="005B69F3" w:rsidRPr="00746F54" w14:paraId="2F9B4DEA" w14:textId="77777777" w:rsidTr="00FA2852">
        <w:tc>
          <w:tcPr>
            <w:tcW w:w="3113"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19DEDE68" w14:textId="77777777" w:rsidR="005B69F3" w:rsidRPr="00746F54" w:rsidRDefault="005B69F3" w:rsidP="00D62922">
            <w:pPr>
              <w:pStyle w:val="BPM"/>
              <w:spacing w:after="0"/>
              <w:jc w:val="both"/>
              <w:rPr>
                <w:rFonts w:ascii="Arial" w:hAnsi="Arial"/>
              </w:rPr>
            </w:pPr>
            <w:r w:rsidRPr="00746F54">
              <w:rPr>
                <w:rFonts w:ascii="Arial" w:hAnsi="Arial"/>
              </w:rPr>
              <w:t>Outage Start Time Submitted</w:t>
            </w:r>
          </w:p>
        </w:tc>
        <w:tc>
          <w:tcPr>
            <w:tcW w:w="3113"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1606EF1C" w14:textId="77777777" w:rsidR="005B69F3" w:rsidRPr="00746F54" w:rsidRDefault="005B69F3" w:rsidP="00D62922">
            <w:pPr>
              <w:pStyle w:val="BPM"/>
              <w:spacing w:after="0"/>
              <w:jc w:val="both"/>
              <w:rPr>
                <w:rFonts w:ascii="Arial" w:hAnsi="Arial"/>
              </w:rPr>
            </w:pPr>
            <w:r w:rsidRPr="00746F54">
              <w:rPr>
                <w:rFonts w:ascii="Arial" w:hAnsi="Arial"/>
              </w:rPr>
              <w:t>Outage End Time Submitted</w:t>
            </w:r>
          </w:p>
        </w:tc>
        <w:tc>
          <w:tcPr>
            <w:tcW w:w="3114"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230FC8E9" w14:textId="2A75B14A" w:rsidR="005B69F3" w:rsidRPr="00746F54" w:rsidRDefault="005B69F3" w:rsidP="00D62922">
            <w:pPr>
              <w:pStyle w:val="BPM"/>
              <w:spacing w:after="0"/>
              <w:jc w:val="both"/>
              <w:rPr>
                <w:rFonts w:ascii="Arial" w:hAnsi="Arial"/>
              </w:rPr>
            </w:pPr>
            <w:r w:rsidRPr="00746F54">
              <w:rPr>
                <w:rFonts w:ascii="Arial" w:hAnsi="Arial"/>
              </w:rPr>
              <w:t>Day-Ahead</w:t>
            </w:r>
            <w:r w:rsidR="00A62A99">
              <w:rPr>
                <w:rFonts w:ascii="Arial" w:hAnsi="Arial"/>
              </w:rPr>
              <w:t xml:space="preserve"> </w:t>
            </w:r>
            <w:r w:rsidRPr="00746F54">
              <w:rPr>
                <w:rFonts w:ascii="Arial" w:hAnsi="Arial"/>
              </w:rPr>
              <w:t>Hour(s) Affected</w:t>
            </w:r>
          </w:p>
        </w:tc>
      </w:tr>
      <w:tr w:rsidR="005B69F3" w:rsidRPr="00746F54" w14:paraId="64096540"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8D77B" w14:textId="77777777" w:rsidR="005B69F3" w:rsidRPr="00746F54" w:rsidRDefault="005B69F3" w:rsidP="00D62922">
            <w:pPr>
              <w:pStyle w:val="BPM"/>
              <w:spacing w:after="0"/>
              <w:jc w:val="both"/>
              <w:rPr>
                <w:rFonts w:ascii="Arial" w:hAnsi="Arial"/>
              </w:rPr>
            </w:pPr>
            <w:r w:rsidRPr="00746F54">
              <w:rPr>
                <w:rFonts w:ascii="Arial" w:hAnsi="Arial"/>
              </w:rPr>
              <w:t>18:00</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123F82D9" w14:textId="77777777" w:rsidR="005B69F3" w:rsidRPr="00746F54" w:rsidRDefault="005B69F3" w:rsidP="00D62922">
            <w:pPr>
              <w:pStyle w:val="BPM"/>
              <w:spacing w:after="0"/>
              <w:jc w:val="both"/>
              <w:rPr>
                <w:rFonts w:ascii="Arial" w:hAnsi="Arial"/>
              </w:rPr>
            </w:pPr>
            <w:r w:rsidRPr="00746F54">
              <w:rPr>
                <w:rFonts w:ascii="Arial" w:hAnsi="Arial"/>
              </w:rPr>
              <w:t>19:00</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298B675F" w14:textId="77777777" w:rsidR="005B69F3" w:rsidRPr="00746F54" w:rsidRDefault="005B69F3" w:rsidP="00D62922">
            <w:pPr>
              <w:pStyle w:val="BPM"/>
              <w:spacing w:after="0"/>
              <w:jc w:val="both"/>
              <w:rPr>
                <w:rFonts w:ascii="Arial" w:hAnsi="Arial"/>
              </w:rPr>
            </w:pPr>
            <w:r w:rsidRPr="00746F54">
              <w:rPr>
                <w:rFonts w:ascii="Arial" w:hAnsi="Arial"/>
              </w:rPr>
              <w:t>HE19</w:t>
            </w:r>
          </w:p>
        </w:tc>
      </w:tr>
      <w:tr w:rsidR="005B69F3" w:rsidRPr="00746F54" w14:paraId="31C6A3CD"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E3BDD" w14:textId="77777777" w:rsidR="005B69F3" w:rsidRPr="00746F54" w:rsidRDefault="005B69F3" w:rsidP="00D62922">
            <w:pPr>
              <w:pStyle w:val="BPM"/>
              <w:spacing w:after="0"/>
              <w:jc w:val="both"/>
              <w:rPr>
                <w:rFonts w:ascii="Arial" w:hAnsi="Arial"/>
              </w:rPr>
            </w:pPr>
            <w:r w:rsidRPr="00746F54">
              <w:rPr>
                <w:rFonts w:ascii="Arial" w:hAnsi="Arial"/>
              </w:rPr>
              <w:t>18:00</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20CB718B" w14:textId="77777777" w:rsidR="005B69F3" w:rsidRPr="00746F54" w:rsidRDefault="005B69F3" w:rsidP="00D62922">
            <w:pPr>
              <w:pStyle w:val="BPM"/>
              <w:spacing w:after="0"/>
              <w:jc w:val="both"/>
              <w:rPr>
                <w:rFonts w:ascii="Arial" w:hAnsi="Arial"/>
              </w:rPr>
            </w:pPr>
            <w:r w:rsidRPr="00746F54">
              <w:rPr>
                <w:rFonts w:ascii="Arial" w:hAnsi="Arial"/>
              </w:rPr>
              <w:t>19:01</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37CF9652" w14:textId="77777777" w:rsidR="005B69F3" w:rsidRPr="00746F54" w:rsidRDefault="005B69F3" w:rsidP="00D62922">
            <w:pPr>
              <w:pStyle w:val="BPM"/>
              <w:spacing w:after="0"/>
              <w:jc w:val="both"/>
              <w:rPr>
                <w:rFonts w:ascii="Arial" w:hAnsi="Arial"/>
              </w:rPr>
            </w:pPr>
            <w:r w:rsidRPr="00746F54">
              <w:rPr>
                <w:rFonts w:ascii="Arial" w:hAnsi="Arial"/>
              </w:rPr>
              <w:t>HE19 and HE20</w:t>
            </w:r>
          </w:p>
        </w:tc>
      </w:tr>
      <w:tr w:rsidR="005B69F3" w:rsidRPr="00746F54" w14:paraId="0B5E6FD8"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6CB69" w14:textId="77777777" w:rsidR="005B69F3" w:rsidRPr="00746F54" w:rsidRDefault="005B69F3" w:rsidP="00D62922">
            <w:pPr>
              <w:pStyle w:val="BPM"/>
              <w:spacing w:after="0"/>
              <w:jc w:val="both"/>
              <w:rPr>
                <w:rFonts w:ascii="Arial" w:hAnsi="Arial"/>
              </w:rPr>
            </w:pPr>
            <w:r w:rsidRPr="00746F54">
              <w:rPr>
                <w:rFonts w:ascii="Arial" w:hAnsi="Arial"/>
              </w:rPr>
              <w:t>18:00</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4A36501D" w14:textId="77777777" w:rsidR="005B69F3" w:rsidRPr="00746F54" w:rsidRDefault="005B69F3" w:rsidP="00D62922">
            <w:pPr>
              <w:pStyle w:val="BPM"/>
              <w:spacing w:after="0"/>
              <w:jc w:val="both"/>
              <w:rPr>
                <w:rFonts w:ascii="Arial" w:hAnsi="Arial"/>
              </w:rPr>
            </w:pPr>
            <w:r w:rsidRPr="00746F54">
              <w:rPr>
                <w:rFonts w:ascii="Arial" w:hAnsi="Arial"/>
              </w:rPr>
              <w:t>19:59</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20AC41A1" w14:textId="77777777" w:rsidR="005B69F3" w:rsidRPr="00746F54" w:rsidRDefault="005B69F3" w:rsidP="00D62922">
            <w:pPr>
              <w:pStyle w:val="BPM"/>
              <w:spacing w:after="0"/>
              <w:jc w:val="both"/>
              <w:rPr>
                <w:rFonts w:ascii="Arial" w:hAnsi="Arial"/>
              </w:rPr>
            </w:pPr>
            <w:r w:rsidRPr="00746F54">
              <w:rPr>
                <w:rFonts w:ascii="Arial" w:hAnsi="Arial"/>
              </w:rPr>
              <w:t>HE19 and HE20</w:t>
            </w:r>
          </w:p>
        </w:tc>
      </w:tr>
      <w:tr w:rsidR="005B69F3" w:rsidRPr="00746F54" w14:paraId="46D54AD1"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56758" w14:textId="77777777" w:rsidR="005B69F3" w:rsidRPr="00746F54" w:rsidRDefault="005B69F3" w:rsidP="00D62922">
            <w:pPr>
              <w:pStyle w:val="BPM"/>
              <w:spacing w:after="0"/>
              <w:jc w:val="both"/>
              <w:rPr>
                <w:rFonts w:ascii="Arial" w:hAnsi="Arial"/>
              </w:rPr>
            </w:pPr>
            <w:r w:rsidRPr="00746F54">
              <w:rPr>
                <w:rFonts w:ascii="Arial" w:hAnsi="Arial"/>
              </w:rPr>
              <w:t>18:01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218A6573" w14:textId="77777777" w:rsidR="005B69F3" w:rsidRPr="00746F54" w:rsidRDefault="005B69F3" w:rsidP="00D62922">
            <w:pPr>
              <w:pStyle w:val="BPM"/>
              <w:spacing w:after="0"/>
              <w:jc w:val="both"/>
              <w:rPr>
                <w:rFonts w:ascii="Arial" w:hAnsi="Arial"/>
              </w:rPr>
            </w:pPr>
            <w:r w:rsidRPr="00746F54">
              <w:rPr>
                <w:rFonts w:ascii="Arial" w:hAnsi="Arial"/>
              </w:rPr>
              <w:t>19:00</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5562B562" w14:textId="77777777" w:rsidR="005B69F3" w:rsidRPr="00746F54" w:rsidRDefault="005B69F3" w:rsidP="00D62922">
            <w:pPr>
              <w:pStyle w:val="BPM"/>
              <w:spacing w:after="0"/>
              <w:jc w:val="both"/>
              <w:rPr>
                <w:rFonts w:ascii="Arial" w:hAnsi="Arial"/>
                <w:strike/>
              </w:rPr>
            </w:pPr>
            <w:r w:rsidRPr="00746F54">
              <w:rPr>
                <w:rFonts w:ascii="Arial" w:hAnsi="Arial"/>
              </w:rPr>
              <w:t>Inactive in Day Ahead</w:t>
            </w:r>
          </w:p>
        </w:tc>
      </w:tr>
      <w:tr w:rsidR="005B69F3" w:rsidRPr="00746F54" w14:paraId="0533808B"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40213"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18:01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51F07E0D"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19:01</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122088F9"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 xml:space="preserve">HE20 </w:t>
            </w:r>
          </w:p>
        </w:tc>
      </w:tr>
      <w:tr w:rsidR="005B69F3" w:rsidRPr="00746F54" w14:paraId="0BE3F04C"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6FDEF"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18:01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09D87E76"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19:59</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51783707"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 xml:space="preserve">HE20 </w:t>
            </w:r>
          </w:p>
        </w:tc>
      </w:tr>
      <w:tr w:rsidR="005B69F3" w:rsidRPr="00746F54" w14:paraId="39552823"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6448A"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17:59</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34002D10"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19:00</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05CD8ADE"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HE 19</w:t>
            </w:r>
          </w:p>
        </w:tc>
      </w:tr>
      <w:tr w:rsidR="005B69F3" w:rsidRPr="00746F54" w14:paraId="57CED4D3"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1971E"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17:59</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593F098D"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19:01</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625E5424"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HE19 and HE20</w:t>
            </w:r>
          </w:p>
        </w:tc>
      </w:tr>
      <w:tr w:rsidR="005B69F3" w:rsidRPr="00746F54" w14:paraId="0B970EBF" w14:textId="77777777" w:rsidTr="00FA2852">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78423"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17:59</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14:paraId="6524F241"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19:59</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556E82A6" w14:textId="77777777" w:rsidR="005B69F3" w:rsidRPr="00746F54" w:rsidRDefault="005B69F3" w:rsidP="00D62922">
            <w:pPr>
              <w:pStyle w:val="BPM"/>
              <w:spacing w:after="0"/>
              <w:jc w:val="both"/>
              <w:rPr>
                <w:rFonts w:ascii="Arial" w:hAnsi="Arial"/>
                <w:color w:val="000000" w:themeColor="text1"/>
              </w:rPr>
            </w:pPr>
            <w:r w:rsidRPr="00746F54">
              <w:rPr>
                <w:rFonts w:ascii="Arial" w:hAnsi="Arial"/>
                <w:color w:val="000000" w:themeColor="text1"/>
              </w:rPr>
              <w:t>HE19 and HE20</w:t>
            </w:r>
          </w:p>
        </w:tc>
      </w:tr>
    </w:tbl>
    <w:p w14:paraId="7DF059FB" w14:textId="77777777" w:rsidR="0030182A" w:rsidRDefault="0030182A" w:rsidP="002E7413">
      <w:pPr>
        <w:pStyle w:val="Heading2"/>
        <w:numPr>
          <w:ilvl w:val="0"/>
          <w:numId w:val="0"/>
        </w:numPr>
        <w:ind w:left="1080"/>
        <w:rPr>
          <w:rFonts w:ascii="Arial" w:hAnsi="Arial" w:cs="Arial"/>
        </w:rPr>
      </w:pPr>
      <w:bookmarkStart w:id="87" w:name="_Toc211337889"/>
      <w:bookmarkStart w:id="88" w:name="_Hlk212561984"/>
    </w:p>
    <w:p w14:paraId="288941CF" w14:textId="32A1A2D3" w:rsidR="00FA2852" w:rsidRPr="00746F54" w:rsidRDefault="00FA2852" w:rsidP="00776EBF">
      <w:pPr>
        <w:pStyle w:val="Heading2"/>
        <w:rPr>
          <w:rFonts w:ascii="Arial" w:hAnsi="Arial" w:cs="Arial"/>
        </w:rPr>
      </w:pPr>
      <w:bookmarkStart w:id="89" w:name="_Toc228963687"/>
      <w:r w:rsidRPr="00746F54">
        <w:rPr>
          <w:rFonts w:ascii="Arial" w:hAnsi="Arial" w:cs="Arial"/>
        </w:rPr>
        <w:t>Obligation to Notify the Market operator of Transmission Limitations</w:t>
      </w:r>
      <w:bookmarkEnd w:id="87"/>
      <w:bookmarkEnd w:id="89"/>
    </w:p>
    <w:p w14:paraId="04C8D78B" w14:textId="21D9F16E" w:rsidR="009962F6" w:rsidRPr="00746F54" w:rsidRDefault="00FA2852" w:rsidP="00FA2852">
      <w:pPr>
        <w:pStyle w:val="ParaText"/>
        <w:rPr>
          <w:rFonts w:ascii="Arial" w:hAnsi="Arial" w:cs="Arial"/>
        </w:rPr>
      </w:pPr>
      <w:r w:rsidRPr="00746F54">
        <w:rPr>
          <w:rFonts w:ascii="Arial" w:hAnsi="Arial" w:cs="Arial"/>
        </w:rPr>
        <w:t xml:space="preserve">An EDAM entity Scheduling Coordinator must notify the </w:t>
      </w:r>
      <w:r w:rsidR="00000E21">
        <w:rPr>
          <w:rFonts w:ascii="Arial" w:hAnsi="Arial" w:cs="Arial"/>
        </w:rPr>
        <w:t xml:space="preserve">market operator via the OMS </w:t>
      </w:r>
      <w:r w:rsidR="00C95132">
        <w:rPr>
          <w:rFonts w:ascii="Arial" w:hAnsi="Arial" w:cs="Arial"/>
        </w:rPr>
        <w:t>system</w:t>
      </w:r>
      <w:r w:rsidR="00C95132" w:rsidRPr="00746F54">
        <w:rPr>
          <w:rFonts w:ascii="Arial" w:hAnsi="Arial" w:cs="Arial"/>
        </w:rPr>
        <w:t xml:space="preserve"> </w:t>
      </w:r>
      <w:r w:rsidR="00C95132">
        <w:rPr>
          <w:rFonts w:ascii="Arial" w:hAnsi="Arial" w:cs="Arial"/>
        </w:rPr>
        <w:t>regarding</w:t>
      </w:r>
      <w:r w:rsidRPr="00746F54">
        <w:rPr>
          <w:rFonts w:ascii="Arial" w:hAnsi="Arial" w:cs="Arial"/>
        </w:rPr>
        <w:t xml:space="preserve"> transmission limits on the transmission capacity made available to the Day-Ahead Market within the EDAM Entity Balancing Authority Area that </w:t>
      </w:r>
      <w:r w:rsidR="00C95132" w:rsidRPr="00746F54">
        <w:rPr>
          <w:rFonts w:ascii="Arial" w:hAnsi="Arial" w:cs="Arial"/>
        </w:rPr>
        <w:t>needs</w:t>
      </w:r>
      <w:r w:rsidRPr="00746F54">
        <w:rPr>
          <w:rFonts w:ascii="Arial" w:hAnsi="Arial" w:cs="Arial"/>
        </w:rPr>
        <w:t xml:space="preserve"> to be enforced in the Day-Ahead Market.</w:t>
      </w:r>
      <w:r w:rsidR="00080F86" w:rsidRPr="00746F54">
        <w:rPr>
          <w:rFonts w:ascii="Arial" w:hAnsi="Arial" w:cs="Arial"/>
        </w:rPr>
        <w:t xml:space="preserve">   </w:t>
      </w:r>
      <w:r w:rsidRPr="00746F54">
        <w:rPr>
          <w:rFonts w:ascii="Arial" w:hAnsi="Arial" w:cs="Arial"/>
        </w:rPr>
        <w:t xml:space="preserve">  </w:t>
      </w:r>
    </w:p>
    <w:p w14:paraId="34AE74B2" w14:textId="79FEDDFE" w:rsidR="00FA2852" w:rsidRPr="00746F54" w:rsidRDefault="00080F86" w:rsidP="00FA2852">
      <w:pPr>
        <w:pStyle w:val="ParaText"/>
        <w:rPr>
          <w:rFonts w:ascii="Arial" w:hAnsi="Arial" w:cs="Arial"/>
        </w:rPr>
      </w:pPr>
      <w:r w:rsidRPr="00746F54">
        <w:rPr>
          <w:rFonts w:ascii="Arial" w:hAnsi="Arial" w:cs="Arial"/>
        </w:rPr>
        <w:t>EDAM entities shall submit capacity limits via</w:t>
      </w:r>
      <w:r w:rsidR="009962F6" w:rsidRPr="00746F54">
        <w:rPr>
          <w:rFonts w:ascii="Arial" w:hAnsi="Arial" w:cs="Arial"/>
        </w:rPr>
        <w:t xml:space="preserve"> </w:t>
      </w:r>
      <w:r w:rsidR="00000E21">
        <w:rPr>
          <w:rFonts w:ascii="Arial" w:hAnsi="Arial" w:cs="Arial"/>
        </w:rPr>
        <w:t>the Path Limit Calculator</w:t>
      </w:r>
      <w:r w:rsidR="009962F6" w:rsidRPr="00746F54">
        <w:rPr>
          <w:rFonts w:ascii="Arial" w:hAnsi="Arial" w:cs="Arial"/>
        </w:rPr>
        <w:t xml:space="preserve"> </w:t>
      </w:r>
      <w:r w:rsidR="00000E21">
        <w:rPr>
          <w:rFonts w:ascii="Arial" w:hAnsi="Arial" w:cs="Arial"/>
        </w:rPr>
        <w:t>(</w:t>
      </w:r>
      <w:r w:rsidR="009962F6" w:rsidRPr="00746F54">
        <w:rPr>
          <w:rFonts w:ascii="Arial" w:hAnsi="Arial" w:cs="Arial"/>
        </w:rPr>
        <w:t>PLC</w:t>
      </w:r>
      <w:r w:rsidR="00000E21">
        <w:rPr>
          <w:rFonts w:ascii="Arial" w:hAnsi="Arial" w:cs="Arial"/>
        </w:rPr>
        <w:t>)</w:t>
      </w:r>
      <w:r w:rsidR="009962F6" w:rsidRPr="00746F54">
        <w:rPr>
          <w:rFonts w:ascii="Arial" w:hAnsi="Arial" w:cs="Arial"/>
        </w:rPr>
        <w:t>, a pass-through interface for path limit submission</w:t>
      </w:r>
      <w:r w:rsidR="00931AC8" w:rsidRPr="00746F54">
        <w:rPr>
          <w:rFonts w:ascii="Arial" w:hAnsi="Arial" w:cs="Arial"/>
        </w:rPr>
        <w:t xml:space="preserve">. This may include submission of hourly Transmission Corridors (TCORs) </w:t>
      </w:r>
      <w:r w:rsidR="00205BDC" w:rsidRPr="00746F54">
        <w:rPr>
          <w:rFonts w:ascii="Arial" w:hAnsi="Arial" w:cs="Arial"/>
        </w:rPr>
        <w:t xml:space="preserve">path limits </w:t>
      </w:r>
      <w:r w:rsidR="00931AC8" w:rsidRPr="00746F54">
        <w:rPr>
          <w:rFonts w:ascii="Arial" w:hAnsi="Arial" w:cs="Arial"/>
        </w:rPr>
        <w:t xml:space="preserve">and/or Intertie Transmission Constraints (ITCs). </w:t>
      </w:r>
      <w:r w:rsidR="00205BDC" w:rsidRPr="00746F54">
        <w:rPr>
          <w:rFonts w:ascii="Arial" w:hAnsi="Arial" w:cs="Arial"/>
        </w:rPr>
        <w:t xml:space="preserve">Transmission limitations submitted to the PLC system will be enforced </w:t>
      </w:r>
      <w:r w:rsidR="00A13086" w:rsidRPr="00746F54">
        <w:rPr>
          <w:rFonts w:ascii="Arial" w:hAnsi="Arial" w:cs="Arial"/>
        </w:rPr>
        <w:t xml:space="preserve">as constraints </w:t>
      </w:r>
      <w:r w:rsidR="00205BDC" w:rsidRPr="00746F54">
        <w:rPr>
          <w:rFonts w:ascii="Arial" w:hAnsi="Arial" w:cs="Arial"/>
        </w:rPr>
        <w:t xml:space="preserve">in the EDAM </w:t>
      </w:r>
      <w:r w:rsidR="00A13086" w:rsidRPr="00746F54">
        <w:rPr>
          <w:rFonts w:ascii="Arial" w:hAnsi="Arial" w:cs="Arial"/>
        </w:rPr>
        <w:t xml:space="preserve">optimization </w:t>
      </w:r>
      <w:r w:rsidR="00205BDC" w:rsidRPr="00746F54">
        <w:rPr>
          <w:rFonts w:ascii="Arial" w:hAnsi="Arial" w:cs="Arial"/>
        </w:rPr>
        <w:t>only if they are within the EDAM footprint and have been defined in the Full Network Model.</w:t>
      </w:r>
    </w:p>
    <w:p w14:paraId="23EDF136" w14:textId="2981D9D6" w:rsidR="007B4DDD" w:rsidRPr="00746F54" w:rsidRDefault="007B4DDD" w:rsidP="007B4DDD">
      <w:pPr>
        <w:pStyle w:val="Heading1"/>
        <w:rPr>
          <w:rFonts w:ascii="Arial" w:hAnsi="Arial" w:cs="Arial"/>
        </w:rPr>
      </w:pPr>
      <w:bookmarkStart w:id="90" w:name="_Toc211337890"/>
      <w:bookmarkStart w:id="91" w:name="_Toc228963688"/>
      <w:bookmarkEnd w:id="88"/>
      <w:r w:rsidRPr="00746F54">
        <w:rPr>
          <w:rFonts w:ascii="Arial" w:hAnsi="Arial" w:cs="Arial"/>
        </w:rPr>
        <w:lastRenderedPageBreak/>
        <w:t>Metering and Telemetry</w:t>
      </w:r>
      <w:bookmarkEnd w:id="90"/>
      <w:bookmarkEnd w:id="91"/>
      <w:r w:rsidRPr="00746F54">
        <w:rPr>
          <w:rFonts w:ascii="Arial" w:hAnsi="Arial" w:cs="Arial"/>
        </w:rPr>
        <w:t xml:space="preserve"> </w:t>
      </w:r>
    </w:p>
    <w:p w14:paraId="66C3A1D6" w14:textId="7BA2B1FB" w:rsidR="007B4DDD" w:rsidRPr="00746F54" w:rsidRDefault="007B4DDD" w:rsidP="007B4DDD">
      <w:pPr>
        <w:pStyle w:val="ParaText"/>
        <w:rPr>
          <w:rFonts w:ascii="Arial" w:hAnsi="Arial" w:cs="Arial"/>
          <w:u w:val="single"/>
        </w:rPr>
      </w:pPr>
      <w:r w:rsidRPr="00746F54">
        <w:rPr>
          <w:rFonts w:ascii="Arial" w:hAnsi="Arial" w:cs="Arial"/>
          <w:u w:val="single"/>
        </w:rPr>
        <w:t>Reference tariff section</w:t>
      </w:r>
      <w:r w:rsidR="002D0301" w:rsidRPr="00746F54">
        <w:rPr>
          <w:rFonts w:ascii="Arial" w:hAnsi="Arial" w:cs="Arial"/>
          <w:u w:val="single"/>
        </w:rPr>
        <w:t xml:space="preserve"> 10, </w:t>
      </w:r>
      <w:r w:rsidRPr="00746F54">
        <w:rPr>
          <w:rFonts w:ascii="Arial" w:hAnsi="Arial" w:cs="Arial"/>
          <w:u w:val="single"/>
        </w:rPr>
        <w:t xml:space="preserve"> 33.10</w:t>
      </w:r>
      <w:r w:rsidR="002D0301" w:rsidRPr="00746F54">
        <w:rPr>
          <w:rFonts w:ascii="Arial" w:hAnsi="Arial" w:cs="Arial"/>
          <w:u w:val="single"/>
        </w:rPr>
        <w:t>, Appendix Q</w:t>
      </w:r>
    </w:p>
    <w:p w14:paraId="7A4B6640" w14:textId="649F501D" w:rsidR="007B4DDD" w:rsidRPr="00746F54" w:rsidRDefault="007B4DDD" w:rsidP="002D0301">
      <w:pPr>
        <w:pStyle w:val="ParaText"/>
        <w:rPr>
          <w:rFonts w:ascii="Arial" w:hAnsi="Arial" w:cs="Arial"/>
        </w:rPr>
      </w:pPr>
      <w:r w:rsidRPr="00746F54">
        <w:rPr>
          <w:rFonts w:ascii="Arial" w:hAnsi="Arial" w:cs="Arial"/>
        </w:rPr>
        <w:t>Section 10 of the CAISO tariff will apply in the EDAM unless otherwise noted in this Section 33.10.  In the event of any conflict, this</w:t>
      </w:r>
      <w:r w:rsidR="002D0301" w:rsidRPr="00746F54">
        <w:rPr>
          <w:rFonts w:ascii="Arial" w:hAnsi="Arial" w:cs="Arial"/>
        </w:rPr>
        <w:t xml:space="preserve"> tariff</w:t>
      </w:r>
      <w:r w:rsidRPr="00746F54">
        <w:rPr>
          <w:rFonts w:ascii="Arial" w:hAnsi="Arial" w:cs="Arial"/>
        </w:rPr>
        <w:t xml:space="preserve"> </w:t>
      </w:r>
      <w:r w:rsidR="002D0301" w:rsidRPr="00746F54">
        <w:rPr>
          <w:rFonts w:ascii="Arial" w:hAnsi="Arial" w:cs="Arial"/>
        </w:rPr>
        <w:t>s</w:t>
      </w:r>
      <w:r w:rsidRPr="00746F54">
        <w:rPr>
          <w:rFonts w:ascii="Arial" w:hAnsi="Arial" w:cs="Arial"/>
        </w:rPr>
        <w:t xml:space="preserve">ection 33.10 will apply.  </w:t>
      </w:r>
    </w:p>
    <w:p w14:paraId="399EA9F3" w14:textId="50272364" w:rsidR="007B4DDD" w:rsidRPr="00746F54" w:rsidRDefault="007B4DDD" w:rsidP="002D0301">
      <w:pPr>
        <w:pStyle w:val="ParaText"/>
        <w:rPr>
          <w:rFonts w:ascii="Arial" w:hAnsi="Arial" w:cs="Arial"/>
        </w:rPr>
      </w:pPr>
      <w:r w:rsidRPr="00746F54">
        <w:rPr>
          <w:rFonts w:ascii="Arial" w:hAnsi="Arial" w:cs="Arial"/>
        </w:rPr>
        <w:t>The EDAM Entity Scheduling Coordinator will ensure compliance with t</w:t>
      </w:r>
      <w:r w:rsidR="002D0301" w:rsidRPr="00746F54">
        <w:rPr>
          <w:rFonts w:ascii="Arial" w:hAnsi="Arial" w:cs="Arial"/>
        </w:rPr>
        <w:t>ariff</w:t>
      </w:r>
      <w:r w:rsidRPr="00746F54">
        <w:rPr>
          <w:rFonts w:ascii="Arial" w:hAnsi="Arial" w:cs="Arial"/>
        </w:rPr>
        <w:t xml:space="preserve"> </w:t>
      </w:r>
      <w:r w:rsidR="002D0301" w:rsidRPr="00746F54">
        <w:rPr>
          <w:rFonts w:ascii="Arial" w:hAnsi="Arial" w:cs="Arial"/>
        </w:rPr>
        <w:t>s</w:t>
      </w:r>
      <w:r w:rsidRPr="00746F54">
        <w:rPr>
          <w:rFonts w:ascii="Arial" w:hAnsi="Arial" w:cs="Arial"/>
        </w:rPr>
        <w:t>ection 33.10 for each Energy, Demand, Intertie, or other resource in its Balancing Authority Area unless that resource has its own Scheduling Coordinator.</w:t>
      </w:r>
      <w:r w:rsidR="00BA09C1" w:rsidRPr="00746F54">
        <w:rPr>
          <w:rFonts w:ascii="Arial" w:hAnsi="Arial" w:cs="Arial"/>
        </w:rPr>
        <w:t xml:space="preserve">  Appendix Q of the CAISO tariff specifies the telemetry requirements associated with Variable Energy Resources and Hybrid Resources.  </w:t>
      </w:r>
    </w:p>
    <w:p w14:paraId="16EA9D21" w14:textId="434E289B" w:rsidR="007B4DDD" w:rsidRPr="00746F54" w:rsidRDefault="007B4DDD" w:rsidP="007B4DDD">
      <w:pPr>
        <w:pStyle w:val="ParaText"/>
        <w:rPr>
          <w:rFonts w:ascii="Arial" w:hAnsi="Arial" w:cs="Arial"/>
        </w:rPr>
      </w:pPr>
      <w:r w:rsidRPr="00746F54">
        <w:rPr>
          <w:rFonts w:ascii="Arial" w:hAnsi="Arial" w:cs="Arial"/>
        </w:rPr>
        <w:t xml:space="preserve">The EDAM entity will ensure that any Load Aggregation Point in its Balancing Authority Area not represented by the EDAM entity Scheduling Coordinator is metered separately so that the associated demand may be settled. All EDAM resources, including without limitation Generating Units, storage resources, Distributed Energy Resource Providers, and Demand Response Providers, must be CAISO Metered Entities or Scheduling Coordinator Metered Entities and comply with Section 10.  </w:t>
      </w:r>
    </w:p>
    <w:p w14:paraId="1DCF8CF3" w14:textId="55D0C13D" w:rsidR="007B4DDD" w:rsidRPr="00746F54" w:rsidRDefault="007B4DDD" w:rsidP="007B4DDD">
      <w:pPr>
        <w:pStyle w:val="ParaText"/>
        <w:rPr>
          <w:rFonts w:ascii="Arial" w:hAnsi="Arial" w:cs="Arial"/>
        </w:rPr>
      </w:pPr>
      <w:r w:rsidRPr="00746F54">
        <w:rPr>
          <w:rFonts w:ascii="Arial" w:hAnsi="Arial" w:cs="Arial"/>
        </w:rPr>
        <w:t>Scheduling Coordinators for EDAM Resources may elect to submit Meter Data in 5-minute or 15-minute intervals.  Scheduling Coordinators for EDAM Resources that cannot meter the EDAM Resource’s Energy every 15 minutes or faster may not submit Economic Bids or provide Ancillary Services and must submit Self-Schedules in the EDAM and Real-Time Market.</w:t>
      </w:r>
      <w:r w:rsidR="00BA09C1" w:rsidRPr="00746F54">
        <w:rPr>
          <w:rFonts w:ascii="Arial" w:hAnsi="Arial" w:cs="Arial"/>
        </w:rPr>
        <w:t xml:space="preserve">  For additional information and procedures on metering and telemetry, please refer to the Metering Business Practice Manual.  </w:t>
      </w:r>
    </w:p>
    <w:p w14:paraId="246D761F" w14:textId="6C49B334" w:rsidR="00662EAF" w:rsidRPr="00746F54" w:rsidRDefault="00662EAF" w:rsidP="00662EAF">
      <w:pPr>
        <w:pStyle w:val="Heading1"/>
        <w:rPr>
          <w:rFonts w:ascii="Arial" w:hAnsi="Arial" w:cs="Arial"/>
        </w:rPr>
      </w:pPr>
      <w:bookmarkStart w:id="92" w:name="_Toc211337891"/>
      <w:bookmarkStart w:id="93" w:name="_Toc228963689"/>
      <w:r w:rsidRPr="00746F54">
        <w:rPr>
          <w:rFonts w:ascii="Arial" w:hAnsi="Arial" w:cs="Arial"/>
        </w:rPr>
        <w:t>Settlement and Billin</w:t>
      </w:r>
      <w:r w:rsidR="00490EC0" w:rsidRPr="00746F54">
        <w:rPr>
          <w:rFonts w:ascii="Arial" w:hAnsi="Arial" w:cs="Arial"/>
        </w:rPr>
        <w:t>g</w:t>
      </w:r>
      <w:r w:rsidRPr="00746F54">
        <w:rPr>
          <w:rFonts w:ascii="Arial" w:hAnsi="Arial" w:cs="Arial"/>
        </w:rPr>
        <w:t xml:space="preserve"> for EDAM Market Participants</w:t>
      </w:r>
      <w:bookmarkEnd w:id="93"/>
      <w:r w:rsidRPr="00746F54">
        <w:rPr>
          <w:rFonts w:ascii="Arial" w:hAnsi="Arial" w:cs="Arial"/>
        </w:rPr>
        <w:t xml:space="preserve"> </w:t>
      </w:r>
      <w:bookmarkEnd w:id="92"/>
    </w:p>
    <w:p w14:paraId="165944D4" w14:textId="69D1EC76" w:rsidR="00662EAF" w:rsidRPr="00746F54" w:rsidRDefault="00662EAF" w:rsidP="00662EAF">
      <w:pPr>
        <w:pStyle w:val="ParaText"/>
        <w:rPr>
          <w:rFonts w:ascii="Arial" w:hAnsi="Arial" w:cs="Arial"/>
          <w:u w:val="single"/>
        </w:rPr>
      </w:pPr>
      <w:r w:rsidRPr="00746F54">
        <w:rPr>
          <w:rFonts w:ascii="Arial" w:hAnsi="Arial" w:cs="Arial"/>
          <w:u w:val="single"/>
        </w:rPr>
        <w:t>Reference tariff sections 11 and 33.11</w:t>
      </w:r>
    </w:p>
    <w:p w14:paraId="79B22A04" w14:textId="64428FBD" w:rsidR="00662EAF" w:rsidRPr="00746F54" w:rsidRDefault="00662EAF" w:rsidP="00662EAF">
      <w:pPr>
        <w:pStyle w:val="ParaText"/>
        <w:rPr>
          <w:rFonts w:ascii="Arial" w:hAnsi="Arial" w:cs="Arial"/>
        </w:rPr>
      </w:pPr>
      <w:r w:rsidRPr="00746F54">
        <w:rPr>
          <w:rFonts w:ascii="Arial" w:hAnsi="Arial" w:cs="Arial"/>
        </w:rPr>
        <w:t xml:space="preserve">Section 33.11 of the ISO Tariff governs settlement with EDAM Entity Scheduling Coordinators, EDAM Resource Scheduling Coordinators, EDAM Load-Serving Entity Scheduling Coordinators and EDAM Market Participants, unless otherwise provided.  Section 11 governs settlement for charges not exclusive to the Extended Day-Ahead Market.  </w:t>
      </w:r>
    </w:p>
    <w:p w14:paraId="768728CF" w14:textId="2DDC7B1D" w:rsidR="00662EAF" w:rsidRPr="00746F54" w:rsidRDefault="00662EAF" w:rsidP="00662EAF">
      <w:pPr>
        <w:pStyle w:val="ParaText"/>
        <w:rPr>
          <w:rFonts w:ascii="Arial" w:hAnsi="Arial" w:cs="Arial"/>
        </w:rPr>
      </w:pPr>
      <w:r w:rsidRPr="00746F54">
        <w:rPr>
          <w:rFonts w:ascii="Arial" w:hAnsi="Arial" w:cs="Arial"/>
        </w:rPr>
        <w:t xml:space="preserve">The details of the charge codes associated with EDAM participation, and their associated calculation formulae, are further described in the </w:t>
      </w:r>
      <w:r w:rsidRPr="00746F54">
        <w:rPr>
          <w:rFonts w:ascii="Arial" w:hAnsi="Arial" w:cs="Arial"/>
          <w:i/>
          <w:iCs/>
        </w:rPr>
        <w:t xml:space="preserve">Settlements and Billing </w:t>
      </w:r>
      <w:r w:rsidRPr="00746F54">
        <w:rPr>
          <w:rFonts w:ascii="Arial" w:hAnsi="Arial" w:cs="Arial"/>
        </w:rPr>
        <w:t xml:space="preserve">BPM.  </w:t>
      </w:r>
    </w:p>
    <w:p w14:paraId="2BC8B56C" w14:textId="7E0B098B" w:rsidR="00A33050" w:rsidRPr="00746F54" w:rsidRDefault="00A33050" w:rsidP="00A33050">
      <w:pPr>
        <w:pStyle w:val="Heading1"/>
        <w:rPr>
          <w:rFonts w:ascii="Arial" w:hAnsi="Arial" w:cs="Arial"/>
        </w:rPr>
      </w:pPr>
      <w:bookmarkStart w:id="94" w:name="_Toc211337892"/>
      <w:bookmarkStart w:id="95" w:name="_Toc228963690"/>
      <w:r w:rsidRPr="00746F54">
        <w:rPr>
          <w:rFonts w:ascii="Arial" w:hAnsi="Arial" w:cs="Arial"/>
        </w:rPr>
        <w:lastRenderedPageBreak/>
        <w:t>Creditworthiness</w:t>
      </w:r>
      <w:bookmarkEnd w:id="94"/>
      <w:bookmarkEnd w:id="95"/>
      <w:r w:rsidRPr="00746F54">
        <w:rPr>
          <w:rFonts w:ascii="Arial" w:hAnsi="Arial" w:cs="Arial"/>
        </w:rPr>
        <w:t xml:space="preserve"> </w:t>
      </w:r>
    </w:p>
    <w:p w14:paraId="4DE4B5FE" w14:textId="3CAB11DA" w:rsidR="00A33050" w:rsidRPr="00746F54" w:rsidRDefault="00A33050" w:rsidP="00A33050">
      <w:pPr>
        <w:pStyle w:val="ParaText"/>
        <w:rPr>
          <w:rFonts w:ascii="Arial" w:hAnsi="Arial" w:cs="Arial"/>
          <w:u w:val="single"/>
        </w:rPr>
      </w:pPr>
      <w:r w:rsidRPr="00746F54">
        <w:rPr>
          <w:rFonts w:ascii="Arial" w:hAnsi="Arial" w:cs="Arial"/>
          <w:u w:val="single"/>
        </w:rPr>
        <w:t>Reference tariff section 12 and 33.12</w:t>
      </w:r>
    </w:p>
    <w:p w14:paraId="6E2C296F" w14:textId="5F6F1BDB" w:rsidR="00A33050" w:rsidRPr="00746F54" w:rsidRDefault="00A33050" w:rsidP="00A33050">
      <w:pPr>
        <w:pStyle w:val="ParaText"/>
        <w:rPr>
          <w:rFonts w:ascii="Arial" w:hAnsi="Arial" w:cs="Arial"/>
        </w:rPr>
      </w:pPr>
      <w:r w:rsidRPr="00746F54">
        <w:rPr>
          <w:rFonts w:ascii="Arial" w:hAnsi="Arial" w:cs="Arial"/>
        </w:rPr>
        <w:t xml:space="preserve">EDAM Entity Scheduling Coordinators, EDAM Load Serving Entity Scheduling Coordinators, and EDAM Resource Scheduling Coordinators must comply with the creditworthiness requirements of Section 12 of the ISO Tariff, which are further explained in the business practice manual for Credit Management and Market Clearing.  </w:t>
      </w:r>
    </w:p>
    <w:p w14:paraId="2EE3B93D" w14:textId="77777777" w:rsidR="00E7663B" w:rsidRPr="00746F54" w:rsidRDefault="00E7663B" w:rsidP="00E7663B">
      <w:pPr>
        <w:pStyle w:val="Heading1"/>
        <w:rPr>
          <w:rFonts w:ascii="Arial" w:hAnsi="Arial" w:cs="Arial"/>
        </w:rPr>
      </w:pPr>
      <w:bookmarkStart w:id="96" w:name="_Toc211337893"/>
      <w:bookmarkStart w:id="97" w:name="_Toc228963691"/>
      <w:r w:rsidRPr="00746F54">
        <w:rPr>
          <w:rFonts w:ascii="Arial" w:hAnsi="Arial" w:cs="Arial"/>
        </w:rPr>
        <w:t>Dispute Resolution Provisions of the ISO Tariff in EDAM</w:t>
      </w:r>
      <w:bookmarkEnd w:id="96"/>
      <w:bookmarkEnd w:id="97"/>
      <w:r w:rsidRPr="00746F54">
        <w:rPr>
          <w:rFonts w:ascii="Arial" w:hAnsi="Arial" w:cs="Arial"/>
        </w:rPr>
        <w:t xml:space="preserve"> </w:t>
      </w:r>
    </w:p>
    <w:p w14:paraId="714624FC" w14:textId="28B95A53" w:rsidR="00E7663B" w:rsidRPr="00746F54" w:rsidRDefault="00E7663B" w:rsidP="00E7663B">
      <w:pPr>
        <w:pStyle w:val="ParaText"/>
        <w:rPr>
          <w:rFonts w:ascii="Arial" w:hAnsi="Arial" w:cs="Arial"/>
          <w:u w:val="single"/>
        </w:rPr>
      </w:pPr>
      <w:r w:rsidRPr="00746F54">
        <w:rPr>
          <w:rFonts w:ascii="Arial" w:hAnsi="Arial" w:cs="Arial"/>
          <w:u w:val="single"/>
        </w:rPr>
        <w:t>Reference tariff section 13 and 33.13</w:t>
      </w:r>
    </w:p>
    <w:p w14:paraId="2B05D0DB" w14:textId="77777777" w:rsidR="00E7663B" w:rsidRPr="00746F54" w:rsidRDefault="00E7663B" w:rsidP="00E7663B">
      <w:pPr>
        <w:pStyle w:val="ParaText"/>
        <w:rPr>
          <w:rFonts w:ascii="Arial" w:hAnsi="Arial" w:cs="Arial"/>
        </w:rPr>
      </w:pPr>
      <w:r w:rsidRPr="00746F54">
        <w:rPr>
          <w:rFonts w:ascii="Arial" w:hAnsi="Arial" w:cs="Arial"/>
        </w:rPr>
        <w:t xml:space="preserve">EDAM Market Participants will be subject to dispute resolution provisions of Section 13 of the ISO Tariff. </w:t>
      </w:r>
    </w:p>
    <w:p w14:paraId="1A5F06E9" w14:textId="0517515F" w:rsidR="00E7663B" w:rsidRPr="00746F54" w:rsidRDefault="00E7663B" w:rsidP="00E7663B">
      <w:pPr>
        <w:pStyle w:val="ParaText"/>
        <w:rPr>
          <w:rFonts w:ascii="Arial" w:hAnsi="Arial" w:cs="Arial"/>
        </w:rPr>
      </w:pPr>
      <w:r w:rsidRPr="00746F54">
        <w:rPr>
          <w:rFonts w:ascii="Arial" w:hAnsi="Arial" w:cs="Arial"/>
        </w:rPr>
        <w:t xml:space="preserve">Disputes associated with participation in the Day-Ahead Market will be managed through the CAISO customer inquiry, dispute, and information system.  For further information on the dispute process, please review the </w:t>
      </w:r>
      <w:r w:rsidRPr="00746F54">
        <w:rPr>
          <w:rFonts w:ascii="Arial" w:hAnsi="Arial" w:cs="Arial"/>
          <w:i/>
          <w:iCs/>
        </w:rPr>
        <w:t>Settlements and Billing</w:t>
      </w:r>
      <w:r w:rsidRPr="00746F54">
        <w:rPr>
          <w:rFonts w:ascii="Arial" w:hAnsi="Arial" w:cs="Arial"/>
        </w:rPr>
        <w:t xml:space="preserve"> Business Practice Manual.   </w:t>
      </w:r>
    </w:p>
    <w:p w14:paraId="4FF20996" w14:textId="1A2EE791" w:rsidR="00E7663B" w:rsidRPr="00746F54" w:rsidRDefault="00E7663B" w:rsidP="00E7663B">
      <w:pPr>
        <w:pStyle w:val="Heading1"/>
        <w:rPr>
          <w:rFonts w:ascii="Arial" w:hAnsi="Arial" w:cs="Arial"/>
        </w:rPr>
      </w:pPr>
      <w:bookmarkStart w:id="98" w:name="_Toc211337894"/>
      <w:bookmarkStart w:id="99" w:name="_Toc228963692"/>
      <w:r w:rsidRPr="00746F54">
        <w:rPr>
          <w:rFonts w:ascii="Arial" w:hAnsi="Arial" w:cs="Arial"/>
        </w:rPr>
        <w:t>Force Majeure</w:t>
      </w:r>
      <w:r w:rsidR="009F44E1" w:rsidRPr="00746F54">
        <w:rPr>
          <w:rFonts w:ascii="Arial" w:hAnsi="Arial" w:cs="Arial"/>
        </w:rPr>
        <w:t>, Indemnity, Liabilities, and Penalties</w:t>
      </w:r>
      <w:bookmarkEnd w:id="98"/>
      <w:bookmarkEnd w:id="99"/>
    </w:p>
    <w:p w14:paraId="13669CB5" w14:textId="65014999" w:rsidR="00E7663B" w:rsidRPr="00746F54" w:rsidRDefault="00E7663B" w:rsidP="00E7663B">
      <w:pPr>
        <w:pStyle w:val="ParaText"/>
        <w:rPr>
          <w:rFonts w:ascii="Arial" w:hAnsi="Arial" w:cs="Arial"/>
          <w:u w:val="single"/>
        </w:rPr>
      </w:pPr>
      <w:r w:rsidRPr="00746F54">
        <w:rPr>
          <w:rFonts w:ascii="Arial" w:hAnsi="Arial" w:cs="Arial"/>
          <w:u w:val="single"/>
        </w:rPr>
        <w:t>Reference tariff section 14 and 33.14</w:t>
      </w:r>
    </w:p>
    <w:p w14:paraId="62967DBB" w14:textId="52767F4F" w:rsidR="00E7663B" w:rsidRPr="00746F54" w:rsidRDefault="00E7663B" w:rsidP="00E7663B">
      <w:pPr>
        <w:pStyle w:val="ParaText"/>
        <w:rPr>
          <w:rFonts w:ascii="Arial" w:hAnsi="Arial" w:cs="Arial"/>
        </w:rPr>
      </w:pPr>
      <w:r w:rsidRPr="00746F54">
        <w:rPr>
          <w:rFonts w:ascii="Arial" w:hAnsi="Arial" w:cs="Arial"/>
        </w:rPr>
        <w:t xml:space="preserve">The provisions of Section 14 regarding uncontrollable force, indemnity, liability, and penalties will apply to the participation of EDAM market participants. </w:t>
      </w:r>
    </w:p>
    <w:p w14:paraId="5AD71C9C" w14:textId="77777777" w:rsidR="007679BE" w:rsidRPr="00746F54" w:rsidRDefault="007679BE" w:rsidP="007679BE">
      <w:pPr>
        <w:pStyle w:val="Heading1"/>
        <w:numPr>
          <w:ilvl w:val="0"/>
          <w:numId w:val="5"/>
        </w:numPr>
        <w:rPr>
          <w:rFonts w:ascii="Arial" w:hAnsi="Arial" w:cs="Arial"/>
        </w:rPr>
      </w:pPr>
      <w:bookmarkStart w:id="100" w:name="_Toc211337895"/>
      <w:bookmarkStart w:id="101" w:name="_Toc228963693"/>
      <w:r w:rsidRPr="00746F54">
        <w:rPr>
          <w:rFonts w:ascii="Arial" w:hAnsi="Arial" w:cs="Arial"/>
        </w:rPr>
        <w:t>EDAM Legacy Contracts</w:t>
      </w:r>
      <w:bookmarkEnd w:id="100"/>
      <w:bookmarkEnd w:id="101"/>
    </w:p>
    <w:p w14:paraId="097163BE" w14:textId="77777777" w:rsidR="007679BE" w:rsidRPr="00746F54" w:rsidRDefault="007679BE" w:rsidP="007679BE">
      <w:pPr>
        <w:pStyle w:val="ParaText"/>
        <w:rPr>
          <w:rFonts w:ascii="Arial" w:hAnsi="Arial" w:cs="Arial"/>
        </w:rPr>
      </w:pPr>
      <w:r w:rsidRPr="00746F54">
        <w:rPr>
          <w:rFonts w:ascii="Arial" w:hAnsi="Arial" w:cs="Arial"/>
        </w:rPr>
        <w:t xml:space="preserve">EDAM Legacy Contracts represent transmission contracts governed by the terms and conditions of the transmission agreement, and not under the terms and conditions of applicable transmission provider tariff.  Within the CAISO balancing area, these legacy contracts are also recognized as Existing Transmission Contracts (ETC).  Within other EDAM balancing areas, these legacy contracts are also recognized as those established prior to adoption of the open access transmission tariff and not governed by its terms.  </w:t>
      </w:r>
    </w:p>
    <w:p w14:paraId="5E0C260C" w14:textId="77777777" w:rsidR="007679BE" w:rsidRPr="00746F54" w:rsidRDefault="007679BE" w:rsidP="007679BE">
      <w:pPr>
        <w:pStyle w:val="Heading2"/>
        <w:rPr>
          <w:rFonts w:ascii="Arial" w:hAnsi="Arial" w:cs="Arial"/>
        </w:rPr>
      </w:pPr>
      <w:bookmarkStart w:id="102" w:name="_Toc211337896"/>
      <w:bookmarkStart w:id="103" w:name="_Toc228963694"/>
      <w:r w:rsidRPr="00746F54">
        <w:rPr>
          <w:rFonts w:ascii="Arial" w:hAnsi="Arial" w:cs="Arial"/>
        </w:rPr>
        <w:lastRenderedPageBreak/>
        <w:t>Registration of EDAM Legacy Contracts</w:t>
      </w:r>
      <w:bookmarkEnd w:id="102"/>
      <w:bookmarkEnd w:id="103"/>
    </w:p>
    <w:p w14:paraId="131C72C7" w14:textId="77777777" w:rsidR="007679BE" w:rsidRPr="00746F54" w:rsidRDefault="007679BE" w:rsidP="007679BE">
      <w:pPr>
        <w:pStyle w:val="ParaText"/>
        <w:rPr>
          <w:rFonts w:ascii="Arial" w:hAnsi="Arial" w:cs="Arial"/>
        </w:rPr>
      </w:pPr>
      <w:r w:rsidRPr="00746F54">
        <w:rPr>
          <w:rFonts w:ascii="Arial" w:hAnsi="Arial" w:cs="Arial"/>
        </w:rPr>
        <w:t>Consistent with section 33.16.2 of the Tariff, the EDAM entity for the balancing authority area associated with the potential EDAM Legay Contract will determine if a transmission agreement qualifies as an EDAM Legacy Contract and will coordinate with EDAM Legacy Contract rights holder and the impacted EDAM Transmission Service Providers.</w:t>
      </w:r>
    </w:p>
    <w:p w14:paraId="456BFCA8" w14:textId="77777777" w:rsidR="007679BE" w:rsidRPr="00746F54" w:rsidRDefault="007679BE" w:rsidP="007679BE">
      <w:pPr>
        <w:pStyle w:val="ParaText"/>
        <w:rPr>
          <w:rFonts w:ascii="Arial" w:hAnsi="Arial" w:cs="Arial"/>
        </w:rPr>
      </w:pPr>
      <w:r w:rsidRPr="00746F54">
        <w:rPr>
          <w:rFonts w:ascii="Arial" w:hAnsi="Arial" w:cs="Arial"/>
        </w:rPr>
        <w:t>The EDAM entity for the balancing authority area associated with the EDAM Legacy Contract rights holder will register the transmission rights and provide the market with the necessary information and instructions, consistent with section 16.4 of the tariff.  The transmission rights under the EDAM Legacy Contract will be registered in Masterfile, identifying the following information associated with the transmission rights:</w:t>
      </w:r>
    </w:p>
    <w:p w14:paraId="5AC893FE" w14:textId="77777777" w:rsidR="007679BE" w:rsidRPr="00746F54" w:rsidRDefault="007679BE" w:rsidP="007679BE">
      <w:pPr>
        <w:pStyle w:val="ListParagraph"/>
        <w:numPr>
          <w:ilvl w:val="0"/>
          <w:numId w:val="100"/>
        </w:numPr>
        <w:spacing w:line="278" w:lineRule="auto"/>
        <w:contextualSpacing/>
        <w:rPr>
          <w:rFonts w:ascii="Arial" w:hAnsi="Arial" w:cs="Arial"/>
        </w:rPr>
      </w:pPr>
      <w:r w:rsidRPr="00746F54">
        <w:rPr>
          <w:rFonts w:ascii="Arial" w:hAnsi="Arial" w:cs="Arial"/>
        </w:rPr>
        <w:t>EDAM Balancing Area (EDAM Entity)</w:t>
      </w:r>
    </w:p>
    <w:p w14:paraId="5BE264BE" w14:textId="77777777" w:rsidR="007679BE" w:rsidRPr="00746F54" w:rsidRDefault="007679BE" w:rsidP="007679BE">
      <w:pPr>
        <w:pStyle w:val="ParaText"/>
        <w:numPr>
          <w:ilvl w:val="1"/>
          <w:numId w:val="100"/>
        </w:numPr>
        <w:spacing w:line="240" w:lineRule="auto"/>
        <w:contextualSpacing/>
        <w:rPr>
          <w:rFonts w:ascii="Arial" w:hAnsi="Arial" w:cs="Arial"/>
        </w:rPr>
      </w:pPr>
      <w:r w:rsidRPr="00746F54">
        <w:rPr>
          <w:rFonts w:ascii="Arial" w:hAnsi="Arial" w:cs="Arial"/>
        </w:rPr>
        <w:t>Transfer Location ID (optional): used to validate TSR Type 1 bids and Released Capacity bids at that Transfer location</w:t>
      </w:r>
    </w:p>
    <w:p w14:paraId="173FB554" w14:textId="77777777" w:rsidR="007679BE" w:rsidRPr="00746F54" w:rsidRDefault="007679BE" w:rsidP="007679BE">
      <w:pPr>
        <w:pStyle w:val="ParaText"/>
        <w:numPr>
          <w:ilvl w:val="2"/>
          <w:numId w:val="100"/>
        </w:numPr>
        <w:spacing w:line="240" w:lineRule="auto"/>
        <w:contextualSpacing/>
        <w:rPr>
          <w:rFonts w:ascii="Arial" w:hAnsi="Arial" w:cs="Arial"/>
        </w:rPr>
      </w:pPr>
      <w:r w:rsidRPr="00746F54">
        <w:rPr>
          <w:rFonts w:ascii="Arial" w:hAnsi="Arial" w:cs="Arial"/>
        </w:rPr>
        <w:t>Transmission Customer SC ID</w:t>
      </w:r>
    </w:p>
    <w:p w14:paraId="021C0500" w14:textId="77777777" w:rsidR="007679BE" w:rsidRPr="00746F54" w:rsidRDefault="007679BE" w:rsidP="007679BE">
      <w:pPr>
        <w:pStyle w:val="ParaText"/>
        <w:numPr>
          <w:ilvl w:val="3"/>
          <w:numId w:val="100"/>
        </w:numPr>
        <w:spacing w:line="240" w:lineRule="auto"/>
        <w:contextualSpacing/>
        <w:rPr>
          <w:rFonts w:ascii="Arial" w:hAnsi="Arial" w:cs="Arial"/>
        </w:rPr>
      </w:pPr>
      <w:r w:rsidRPr="00746F54">
        <w:rPr>
          <w:rFonts w:ascii="Arial" w:hAnsi="Arial" w:cs="Arial"/>
        </w:rPr>
        <w:t>Contract capacity for that Transmission Customer SC ID</w:t>
      </w:r>
    </w:p>
    <w:p w14:paraId="07F88E4C" w14:textId="77777777" w:rsidR="007679BE" w:rsidRPr="00746F54" w:rsidRDefault="007679BE" w:rsidP="007679BE">
      <w:pPr>
        <w:pStyle w:val="ParaText"/>
        <w:numPr>
          <w:ilvl w:val="1"/>
          <w:numId w:val="100"/>
        </w:numPr>
        <w:spacing w:after="0" w:line="240" w:lineRule="auto"/>
        <w:contextualSpacing/>
        <w:rPr>
          <w:rFonts w:ascii="Arial" w:hAnsi="Arial" w:cs="Arial"/>
        </w:rPr>
      </w:pPr>
      <w:r w:rsidRPr="00746F54">
        <w:rPr>
          <w:rFonts w:ascii="Arial" w:hAnsi="Arial" w:cs="Arial"/>
        </w:rPr>
        <w:t>Resource ID (required for registered TSRs with physical source/sinks)</w:t>
      </w:r>
    </w:p>
    <w:p w14:paraId="65779D0D" w14:textId="77777777" w:rsidR="007679BE" w:rsidRPr="00746F54" w:rsidRDefault="007679BE" w:rsidP="007679BE">
      <w:pPr>
        <w:pStyle w:val="ListParagraph"/>
        <w:numPr>
          <w:ilvl w:val="0"/>
          <w:numId w:val="100"/>
        </w:numPr>
        <w:spacing w:line="278" w:lineRule="auto"/>
        <w:contextualSpacing/>
        <w:rPr>
          <w:rFonts w:ascii="Arial" w:hAnsi="Arial" w:cs="Arial"/>
        </w:rPr>
      </w:pPr>
      <w:r w:rsidRPr="00746F54">
        <w:rPr>
          <w:rFonts w:ascii="Arial" w:hAnsi="Arial" w:cs="Arial"/>
        </w:rPr>
        <w:t>Contract capacity for that resource ID Physical source and sink locations</w:t>
      </w:r>
    </w:p>
    <w:p w14:paraId="38D0E956" w14:textId="77777777" w:rsidR="007679BE" w:rsidRPr="00746F54" w:rsidRDefault="007679BE" w:rsidP="007679BE">
      <w:pPr>
        <w:pStyle w:val="ListParagraph"/>
        <w:numPr>
          <w:ilvl w:val="0"/>
          <w:numId w:val="100"/>
        </w:numPr>
        <w:spacing w:line="278" w:lineRule="auto"/>
        <w:contextualSpacing/>
        <w:rPr>
          <w:rFonts w:ascii="Arial" w:hAnsi="Arial" w:cs="Arial"/>
        </w:rPr>
      </w:pPr>
      <w:r w:rsidRPr="00746F54">
        <w:rPr>
          <w:rFonts w:ascii="Arial" w:hAnsi="Arial" w:cs="Arial"/>
        </w:rPr>
        <w:t>Start and stop dates (duration)</w:t>
      </w:r>
    </w:p>
    <w:p w14:paraId="419448D5" w14:textId="77777777" w:rsidR="007679BE" w:rsidRPr="00746F54" w:rsidRDefault="007679BE" w:rsidP="007679BE">
      <w:pPr>
        <w:pStyle w:val="ListParagraph"/>
        <w:numPr>
          <w:ilvl w:val="0"/>
          <w:numId w:val="100"/>
        </w:numPr>
        <w:spacing w:line="278" w:lineRule="auto"/>
        <w:contextualSpacing/>
        <w:rPr>
          <w:rFonts w:ascii="Arial" w:hAnsi="Arial" w:cs="Arial"/>
        </w:rPr>
      </w:pPr>
      <w:r w:rsidRPr="00746F54">
        <w:rPr>
          <w:rFonts w:ascii="Arial" w:hAnsi="Arial" w:cs="Arial"/>
        </w:rPr>
        <w:t>MW quantity</w:t>
      </w:r>
    </w:p>
    <w:p w14:paraId="70BADCE2" w14:textId="54CB160C" w:rsidR="007679BE" w:rsidRPr="00746F54" w:rsidRDefault="007679BE" w:rsidP="007679BE">
      <w:pPr>
        <w:pStyle w:val="ListParagraph"/>
        <w:numPr>
          <w:ilvl w:val="0"/>
          <w:numId w:val="100"/>
        </w:numPr>
        <w:spacing w:line="278" w:lineRule="auto"/>
        <w:contextualSpacing/>
        <w:rPr>
          <w:rFonts w:ascii="Arial" w:hAnsi="Arial" w:cs="Arial"/>
        </w:rPr>
      </w:pPr>
      <w:r w:rsidRPr="00746F54">
        <w:rPr>
          <w:rFonts w:ascii="Arial" w:hAnsi="Arial" w:cs="Arial"/>
        </w:rPr>
        <w:t xml:space="preserve">Any associated special instructions (if applicable) provided pursuant to section 16.4 of the </w:t>
      </w:r>
      <w:r w:rsidR="00C95132" w:rsidRPr="00746F54">
        <w:rPr>
          <w:rFonts w:ascii="Arial" w:hAnsi="Arial" w:cs="Arial"/>
        </w:rPr>
        <w:t>tariff.</w:t>
      </w:r>
    </w:p>
    <w:p w14:paraId="4BB8AB35" w14:textId="77777777" w:rsidR="007679BE" w:rsidRPr="00746F54" w:rsidRDefault="007679BE" w:rsidP="007679BE">
      <w:pPr>
        <w:pStyle w:val="ParaText"/>
        <w:rPr>
          <w:rFonts w:ascii="Arial" w:hAnsi="Arial" w:cs="Arial"/>
        </w:rPr>
      </w:pPr>
      <w:r w:rsidRPr="00746F54">
        <w:rPr>
          <w:rFonts w:ascii="Arial" w:hAnsi="Arial" w:cs="Arial"/>
        </w:rPr>
        <w:t>Through the Masterfile registration process, the registered EDAM Legacy Contract representing transmission rights will be associated with a Contract Reference ID which will support the exercise of these transmission rights in the market.  The ISO will model and manage EDAM Legacy Contract rights in the same manner as current CAISO ETC/TOR rights to accommodate their use.</w:t>
      </w:r>
    </w:p>
    <w:p w14:paraId="068CF9AF" w14:textId="77777777" w:rsidR="007679BE" w:rsidRPr="00746F54" w:rsidRDefault="007679BE" w:rsidP="007679BE">
      <w:pPr>
        <w:pStyle w:val="Heading2"/>
        <w:rPr>
          <w:rFonts w:ascii="Arial" w:hAnsi="Arial" w:cs="Arial"/>
        </w:rPr>
      </w:pPr>
      <w:bookmarkStart w:id="104" w:name="_Toc211337897"/>
      <w:bookmarkStart w:id="105" w:name="_Toc228963695"/>
      <w:r w:rsidRPr="00746F54">
        <w:rPr>
          <w:rFonts w:ascii="Arial" w:hAnsi="Arial" w:cs="Arial"/>
        </w:rPr>
        <w:t>Availability and Scheduling of EDAM Legacy Contracts</w:t>
      </w:r>
      <w:bookmarkEnd w:id="104"/>
      <w:bookmarkEnd w:id="105"/>
    </w:p>
    <w:p w14:paraId="6953517D" w14:textId="77777777" w:rsidR="007679BE" w:rsidRPr="00746F54" w:rsidRDefault="007679BE" w:rsidP="007679BE">
      <w:pPr>
        <w:pStyle w:val="ParaText"/>
        <w:rPr>
          <w:rFonts w:ascii="Arial" w:hAnsi="Arial" w:cs="Arial"/>
        </w:rPr>
      </w:pPr>
      <w:r w:rsidRPr="00746F54">
        <w:rPr>
          <w:rFonts w:ascii="Arial" w:hAnsi="Arial" w:cs="Arial"/>
        </w:rPr>
        <w:t xml:space="preserve">An EDAM Legacy Contract rights holder, through its scheduling coordinator, may exercise these transmission rights in the day-ahead and real-time markets.  To exercise the EDAM Legacy Contract transmission rights, the scheduling coordinator must submit a Self-Schedule for </w:t>
      </w:r>
      <w:proofErr w:type="gramStart"/>
      <w:r w:rsidRPr="00746F54">
        <w:rPr>
          <w:rFonts w:ascii="Arial" w:hAnsi="Arial" w:cs="Arial"/>
        </w:rPr>
        <w:t>all</w:t>
      </w:r>
      <w:proofErr w:type="gramEnd"/>
      <w:r w:rsidRPr="00746F54">
        <w:rPr>
          <w:rFonts w:ascii="Arial" w:hAnsi="Arial" w:cs="Arial"/>
        </w:rPr>
        <w:t xml:space="preserve"> or a portion of the capacity associated with a Contract Reference Number representing the transmission rights registered in Masterfile. EDAM Legacy Contract rights cannot be exercised through the submission of an economic bid in the market. </w:t>
      </w:r>
    </w:p>
    <w:p w14:paraId="3C6A1AFA" w14:textId="77777777" w:rsidR="007679BE" w:rsidRPr="00746F54" w:rsidRDefault="007679BE" w:rsidP="007679BE">
      <w:pPr>
        <w:pStyle w:val="ParaText"/>
        <w:rPr>
          <w:rFonts w:ascii="Arial" w:hAnsi="Arial" w:cs="Arial"/>
        </w:rPr>
      </w:pPr>
      <w:r w:rsidRPr="00746F54">
        <w:rPr>
          <w:rFonts w:ascii="Arial" w:hAnsi="Arial" w:cs="Arial"/>
        </w:rPr>
        <w:lastRenderedPageBreak/>
        <w:t xml:space="preserve">The market and specifically the SIBR system will validate submitted self-schedules associated with Contract Reference Numbers representing EDAM Legacy Contract rights under the procedures described in section 16.6 of the tariff.  Submitted Self-Schedules exercising their EDAM Legacy Contract rights as described in this section will receive a market clearing priority commensurate with ETC/TOR rights and the registered characteristics of those transmission rights, consistent with section 16.5 of the tariff.   </w:t>
      </w:r>
    </w:p>
    <w:p w14:paraId="4D99B83E" w14:textId="77777777" w:rsidR="007679BE" w:rsidRPr="00746F54" w:rsidRDefault="007679BE" w:rsidP="007679BE">
      <w:pPr>
        <w:pStyle w:val="ParaText"/>
        <w:rPr>
          <w:rFonts w:ascii="Arial" w:hAnsi="Arial" w:cs="Arial"/>
        </w:rPr>
      </w:pPr>
      <w:r w:rsidRPr="00746F54">
        <w:rPr>
          <w:rFonts w:ascii="Arial" w:hAnsi="Arial" w:cs="Arial"/>
        </w:rPr>
        <w:t xml:space="preserve">EDAM Legacy Contract rights exercised through self-schedules associated with a Contract Reference Numbers will be settled directly with the Scheduling Coordinator at the LMP </w:t>
      </w:r>
      <w:proofErr w:type="gramStart"/>
      <w:r w:rsidRPr="00746F54">
        <w:rPr>
          <w:rFonts w:ascii="Arial" w:hAnsi="Arial" w:cs="Arial"/>
        </w:rPr>
        <w:t>similar to</w:t>
      </w:r>
      <w:proofErr w:type="gramEnd"/>
      <w:r w:rsidRPr="00746F54">
        <w:rPr>
          <w:rFonts w:ascii="Arial" w:hAnsi="Arial" w:cs="Arial"/>
        </w:rPr>
        <w:t xml:space="preserve"> other day-ahead awards.  The balanced portion of the resulting market schedule associated with the EDAM Legacy Contract will be eligible for mitigation of congestion costs by reversing the Marginal Cost of Congestion component of the LMP difference between the balanced source day-ahead schedule and the sink day-ahead schedule.  For further information on settlements associated with EDAM Legacy Contracts, please refer to the Business Practice Manual for Settlements and Billing.  </w:t>
      </w:r>
    </w:p>
    <w:p w14:paraId="1D3E110C" w14:textId="77777777" w:rsidR="007679BE" w:rsidRPr="00746F54" w:rsidRDefault="007679BE" w:rsidP="007679BE">
      <w:pPr>
        <w:pStyle w:val="ParaText"/>
        <w:rPr>
          <w:rFonts w:ascii="Arial" w:hAnsi="Arial" w:cs="Arial"/>
        </w:rPr>
      </w:pPr>
      <w:r w:rsidRPr="00746F54">
        <w:rPr>
          <w:rFonts w:ascii="Arial" w:hAnsi="Arial" w:cs="Arial"/>
        </w:rPr>
        <w:t>When exercising the EDAM Legacy Contract rights through the processes described above, the scheduling coordinator must coordinate the use and scheduling of these rights with the EDAM entity.  This will allow the EDAM entity to timely communicate to the market the transmission capacity available for EDAM transfers.</w:t>
      </w:r>
    </w:p>
    <w:p w14:paraId="7120A9C3" w14:textId="77777777" w:rsidR="007679BE" w:rsidRPr="00746F54" w:rsidRDefault="007679BE" w:rsidP="007679BE">
      <w:pPr>
        <w:pStyle w:val="Heading1"/>
        <w:rPr>
          <w:rFonts w:ascii="Arial" w:hAnsi="Arial" w:cs="Arial"/>
        </w:rPr>
      </w:pPr>
      <w:bookmarkStart w:id="106" w:name="_Toc211337898"/>
      <w:bookmarkStart w:id="107" w:name="_Toc228963696"/>
      <w:r w:rsidRPr="00746F54">
        <w:rPr>
          <w:rFonts w:ascii="Arial" w:hAnsi="Arial" w:cs="Arial"/>
        </w:rPr>
        <w:t>EDAM Transmission Ownership Rights</w:t>
      </w:r>
      <w:bookmarkEnd w:id="106"/>
      <w:bookmarkEnd w:id="107"/>
    </w:p>
    <w:p w14:paraId="0D1D84B8" w14:textId="77777777" w:rsidR="007679BE" w:rsidRPr="00746F54" w:rsidRDefault="007679BE" w:rsidP="007679BE">
      <w:pPr>
        <w:pStyle w:val="ParaText"/>
        <w:rPr>
          <w:rFonts w:ascii="Arial" w:hAnsi="Arial" w:cs="Arial"/>
        </w:rPr>
      </w:pPr>
      <w:r w:rsidRPr="00746F54">
        <w:rPr>
          <w:rFonts w:ascii="Arial" w:hAnsi="Arial" w:cs="Arial"/>
        </w:rPr>
        <w:t xml:space="preserve">EDAM Transmission Ownership Rights represent ownership rights by a third-party on transmission facilities within an EDAM entity balancing authority area which does not offer service to third parties on its transmission system, </w:t>
      </w:r>
      <w:r w:rsidRPr="00746F54">
        <w:rPr>
          <w:rFonts w:ascii="Arial" w:hAnsi="Arial" w:cs="Arial"/>
          <w:i/>
          <w:iCs/>
        </w:rPr>
        <w:t>i.e.</w:t>
      </w:r>
      <w:r w:rsidRPr="00746F54">
        <w:rPr>
          <w:rFonts w:ascii="Arial" w:hAnsi="Arial" w:cs="Arial"/>
        </w:rPr>
        <w:t xml:space="preserve">, the owner is not an EDAM Transmission Service Provider.  A transmission owner which provides transmission service for sale under its open access transmission tariff would not be considered an EDAM transmission ownership rights holder.  </w:t>
      </w:r>
    </w:p>
    <w:p w14:paraId="40794975" w14:textId="77777777" w:rsidR="007679BE" w:rsidRPr="00746F54" w:rsidRDefault="007679BE" w:rsidP="007679BE">
      <w:pPr>
        <w:pStyle w:val="Heading2"/>
        <w:rPr>
          <w:rFonts w:ascii="Arial" w:hAnsi="Arial" w:cs="Arial"/>
        </w:rPr>
      </w:pPr>
      <w:bookmarkStart w:id="108" w:name="_Toc211337899"/>
      <w:bookmarkStart w:id="109" w:name="_Toc228963697"/>
      <w:r w:rsidRPr="00746F54">
        <w:rPr>
          <w:rFonts w:ascii="Arial" w:hAnsi="Arial" w:cs="Arial"/>
        </w:rPr>
        <w:t>Registration of EDAM Transmission Ownership Rights</w:t>
      </w:r>
      <w:bookmarkEnd w:id="108"/>
      <w:bookmarkEnd w:id="109"/>
    </w:p>
    <w:p w14:paraId="0803D357" w14:textId="77777777" w:rsidR="007679BE" w:rsidRPr="00746F54" w:rsidRDefault="007679BE" w:rsidP="007679BE">
      <w:pPr>
        <w:pStyle w:val="ParaText"/>
        <w:rPr>
          <w:rFonts w:ascii="Arial" w:hAnsi="Arial" w:cs="Arial"/>
        </w:rPr>
      </w:pPr>
      <w:r w:rsidRPr="00746F54">
        <w:rPr>
          <w:rFonts w:ascii="Arial" w:hAnsi="Arial" w:cs="Arial"/>
        </w:rPr>
        <w:t xml:space="preserve">Consistent with section 33.17.2 of the Tariff, the EDAM entity for the balancing authority area associated with the EDAM Transmission Ownership Rights will coordinate with the EDAM Transmission Ownership Rights holder to provide necessary information and any associated special instructions to enable effectuation of the transmission rights in the market.  </w:t>
      </w:r>
    </w:p>
    <w:p w14:paraId="15CF6F2C" w14:textId="77777777" w:rsidR="007679BE" w:rsidRPr="00746F54" w:rsidRDefault="007679BE" w:rsidP="007679BE">
      <w:pPr>
        <w:pStyle w:val="ParaText"/>
        <w:rPr>
          <w:rFonts w:ascii="Arial" w:hAnsi="Arial" w:cs="Arial"/>
        </w:rPr>
      </w:pPr>
      <w:r w:rsidRPr="00746F54">
        <w:rPr>
          <w:rFonts w:ascii="Arial" w:hAnsi="Arial" w:cs="Arial"/>
        </w:rPr>
        <w:t xml:space="preserve">The Scheduling Coordinator for the EDAM Legacy Contract rights holder will register the transmission rights and provide the market with the necessary information and instructions, consistent with section 17.1 of the tariff.  The transmission rights under the EDAM Transmission </w:t>
      </w:r>
      <w:r w:rsidRPr="00746F54">
        <w:rPr>
          <w:rFonts w:ascii="Arial" w:hAnsi="Arial" w:cs="Arial"/>
        </w:rPr>
        <w:lastRenderedPageBreak/>
        <w:t>Ownership Rights will be registered in Masterfile, identifying the following information associated with the transmission rights:</w:t>
      </w:r>
    </w:p>
    <w:p w14:paraId="51E8B829" w14:textId="77777777" w:rsidR="007679BE" w:rsidRPr="00746F54" w:rsidRDefault="007679BE" w:rsidP="007679BE">
      <w:pPr>
        <w:pStyle w:val="ParaText"/>
        <w:numPr>
          <w:ilvl w:val="0"/>
          <w:numId w:val="85"/>
        </w:numPr>
        <w:spacing w:line="240" w:lineRule="auto"/>
        <w:contextualSpacing/>
        <w:rPr>
          <w:rFonts w:ascii="Arial" w:hAnsi="Arial" w:cs="Arial"/>
        </w:rPr>
      </w:pPr>
      <w:r w:rsidRPr="00746F54">
        <w:rPr>
          <w:rFonts w:ascii="Arial" w:hAnsi="Arial" w:cs="Arial"/>
        </w:rPr>
        <w:t>EDAM balancing area (EDAM entity)</w:t>
      </w:r>
    </w:p>
    <w:p w14:paraId="67EDDA2E" w14:textId="263B7D0A" w:rsidR="007679BE" w:rsidRPr="00746F54" w:rsidRDefault="007679BE" w:rsidP="007679BE">
      <w:pPr>
        <w:pStyle w:val="ParaText"/>
        <w:numPr>
          <w:ilvl w:val="1"/>
          <w:numId w:val="85"/>
        </w:numPr>
        <w:spacing w:line="240" w:lineRule="auto"/>
        <w:contextualSpacing/>
        <w:rPr>
          <w:rFonts w:ascii="Arial" w:hAnsi="Arial" w:cs="Arial"/>
        </w:rPr>
      </w:pPr>
      <w:r w:rsidRPr="00746F54">
        <w:rPr>
          <w:rFonts w:ascii="Arial" w:hAnsi="Arial" w:cs="Arial"/>
        </w:rPr>
        <w:t xml:space="preserve">Transfer Location ID (optional): used to validate TSR Type 1 bids and Released Capacity bids at that Transfer </w:t>
      </w:r>
      <w:r w:rsidR="00C95132" w:rsidRPr="00746F54">
        <w:rPr>
          <w:rFonts w:ascii="Arial" w:hAnsi="Arial" w:cs="Arial"/>
        </w:rPr>
        <w:t>location.</w:t>
      </w:r>
    </w:p>
    <w:p w14:paraId="2AD7F605" w14:textId="77777777" w:rsidR="007679BE" w:rsidRPr="00746F54" w:rsidRDefault="007679BE" w:rsidP="007679BE">
      <w:pPr>
        <w:pStyle w:val="ParaText"/>
        <w:numPr>
          <w:ilvl w:val="2"/>
          <w:numId w:val="85"/>
        </w:numPr>
        <w:spacing w:line="240" w:lineRule="auto"/>
        <w:contextualSpacing/>
        <w:rPr>
          <w:rFonts w:ascii="Arial" w:hAnsi="Arial" w:cs="Arial"/>
        </w:rPr>
      </w:pPr>
      <w:r w:rsidRPr="00746F54">
        <w:rPr>
          <w:rFonts w:ascii="Arial" w:hAnsi="Arial" w:cs="Arial"/>
        </w:rPr>
        <w:t>Transmission Customer SC ID</w:t>
      </w:r>
    </w:p>
    <w:p w14:paraId="3A05F974" w14:textId="77777777" w:rsidR="007679BE" w:rsidRPr="00746F54" w:rsidRDefault="007679BE" w:rsidP="007679BE">
      <w:pPr>
        <w:pStyle w:val="ParaText"/>
        <w:numPr>
          <w:ilvl w:val="3"/>
          <w:numId w:val="85"/>
        </w:numPr>
        <w:spacing w:line="240" w:lineRule="auto"/>
        <w:contextualSpacing/>
        <w:rPr>
          <w:rFonts w:ascii="Arial" w:hAnsi="Arial" w:cs="Arial"/>
        </w:rPr>
      </w:pPr>
      <w:r w:rsidRPr="00746F54">
        <w:rPr>
          <w:rFonts w:ascii="Arial" w:hAnsi="Arial" w:cs="Arial"/>
        </w:rPr>
        <w:t>Contract capacity for that Transmission Customer SC ID</w:t>
      </w:r>
    </w:p>
    <w:p w14:paraId="123FB69A" w14:textId="77777777" w:rsidR="007679BE" w:rsidRPr="00746F54" w:rsidRDefault="007679BE" w:rsidP="007679BE">
      <w:pPr>
        <w:pStyle w:val="ParaText"/>
        <w:numPr>
          <w:ilvl w:val="1"/>
          <w:numId w:val="85"/>
        </w:numPr>
        <w:spacing w:after="0" w:line="240" w:lineRule="auto"/>
        <w:ind w:left="1800"/>
        <w:contextualSpacing/>
        <w:rPr>
          <w:rFonts w:ascii="Arial" w:hAnsi="Arial" w:cs="Arial"/>
        </w:rPr>
      </w:pPr>
      <w:r w:rsidRPr="00746F54">
        <w:rPr>
          <w:rFonts w:ascii="Arial" w:hAnsi="Arial" w:cs="Arial"/>
        </w:rPr>
        <w:t>Resource ID (required for registered TSRs with physical source/sinks)</w:t>
      </w:r>
    </w:p>
    <w:p w14:paraId="314CF528" w14:textId="5D690F72" w:rsidR="007679BE" w:rsidRPr="00746F54" w:rsidRDefault="007679BE" w:rsidP="007679BE">
      <w:pPr>
        <w:pStyle w:val="ParaText"/>
        <w:numPr>
          <w:ilvl w:val="2"/>
          <w:numId w:val="85"/>
        </w:numPr>
        <w:spacing w:after="0" w:line="240" w:lineRule="auto"/>
        <w:contextualSpacing/>
        <w:rPr>
          <w:rFonts w:ascii="Arial" w:hAnsi="Arial" w:cs="Arial"/>
        </w:rPr>
      </w:pPr>
      <w:r w:rsidRPr="00746F54">
        <w:rPr>
          <w:rFonts w:ascii="Arial" w:hAnsi="Arial" w:cs="Arial"/>
        </w:rPr>
        <w:t xml:space="preserve">Contract capacity for that resource </w:t>
      </w:r>
      <w:r w:rsidR="00C95132" w:rsidRPr="00746F54">
        <w:rPr>
          <w:rFonts w:ascii="Arial" w:hAnsi="Arial" w:cs="Arial"/>
        </w:rPr>
        <w:t>ID.</w:t>
      </w:r>
      <w:r w:rsidRPr="00746F54">
        <w:rPr>
          <w:rFonts w:ascii="Arial" w:hAnsi="Arial" w:cs="Arial"/>
        </w:rPr>
        <w:t xml:space="preserve"> </w:t>
      </w:r>
    </w:p>
    <w:p w14:paraId="7065D6BF" w14:textId="45E558C2" w:rsidR="007679BE" w:rsidRPr="00746F54" w:rsidRDefault="007679BE" w:rsidP="007679BE">
      <w:pPr>
        <w:pStyle w:val="ParaText"/>
        <w:numPr>
          <w:ilvl w:val="0"/>
          <w:numId w:val="85"/>
        </w:numPr>
        <w:spacing w:line="240" w:lineRule="auto"/>
        <w:contextualSpacing/>
        <w:rPr>
          <w:rFonts w:ascii="Arial" w:hAnsi="Arial" w:cs="Arial"/>
        </w:rPr>
      </w:pPr>
      <w:r w:rsidRPr="00746F54">
        <w:rPr>
          <w:rFonts w:ascii="Arial" w:hAnsi="Arial" w:cs="Arial"/>
        </w:rPr>
        <w:t xml:space="preserve">Physical source and sink </w:t>
      </w:r>
      <w:r w:rsidR="00C95132" w:rsidRPr="00746F54">
        <w:rPr>
          <w:rFonts w:ascii="Arial" w:hAnsi="Arial" w:cs="Arial"/>
        </w:rPr>
        <w:t>locations.</w:t>
      </w:r>
    </w:p>
    <w:p w14:paraId="0DEC47B7" w14:textId="77777777" w:rsidR="007679BE" w:rsidRPr="00746F54" w:rsidRDefault="007679BE" w:rsidP="007679BE">
      <w:pPr>
        <w:pStyle w:val="ParaText"/>
        <w:numPr>
          <w:ilvl w:val="0"/>
          <w:numId w:val="85"/>
        </w:numPr>
        <w:contextualSpacing/>
        <w:rPr>
          <w:rFonts w:ascii="Arial" w:hAnsi="Arial" w:cs="Arial"/>
        </w:rPr>
      </w:pPr>
      <w:r w:rsidRPr="00746F54">
        <w:rPr>
          <w:rFonts w:ascii="Arial" w:hAnsi="Arial" w:cs="Arial"/>
        </w:rPr>
        <w:t>Start and stop dates (duration)</w:t>
      </w:r>
    </w:p>
    <w:p w14:paraId="3C87E15E" w14:textId="77777777" w:rsidR="007679BE" w:rsidRPr="00746F54" w:rsidRDefault="007679BE" w:rsidP="007679BE">
      <w:pPr>
        <w:pStyle w:val="ParaText"/>
        <w:numPr>
          <w:ilvl w:val="0"/>
          <w:numId w:val="85"/>
        </w:numPr>
        <w:contextualSpacing/>
        <w:rPr>
          <w:rFonts w:ascii="Arial" w:hAnsi="Arial" w:cs="Arial"/>
        </w:rPr>
      </w:pPr>
      <w:r w:rsidRPr="00746F54">
        <w:rPr>
          <w:rFonts w:ascii="Arial" w:hAnsi="Arial" w:cs="Arial"/>
        </w:rPr>
        <w:t>MW quantity</w:t>
      </w:r>
    </w:p>
    <w:p w14:paraId="43DD9B3B" w14:textId="4D6DD5DD" w:rsidR="007679BE" w:rsidRPr="00746F54" w:rsidRDefault="007679BE" w:rsidP="007679BE">
      <w:pPr>
        <w:pStyle w:val="ParaText"/>
        <w:numPr>
          <w:ilvl w:val="0"/>
          <w:numId w:val="85"/>
        </w:numPr>
        <w:contextualSpacing/>
        <w:rPr>
          <w:rFonts w:ascii="Arial" w:hAnsi="Arial" w:cs="Arial"/>
        </w:rPr>
      </w:pPr>
      <w:r w:rsidRPr="00746F54">
        <w:rPr>
          <w:rFonts w:ascii="Arial" w:hAnsi="Arial" w:cs="Arial"/>
        </w:rPr>
        <w:t xml:space="preserve">Any associated special instructions (if applicable) provided pursuant to section 17.4 of the </w:t>
      </w:r>
      <w:r w:rsidR="00C95132" w:rsidRPr="00746F54">
        <w:rPr>
          <w:rFonts w:ascii="Arial" w:hAnsi="Arial" w:cs="Arial"/>
        </w:rPr>
        <w:t>Tariff.</w:t>
      </w:r>
    </w:p>
    <w:p w14:paraId="2798F63C" w14:textId="77777777" w:rsidR="007679BE" w:rsidRPr="00746F54" w:rsidRDefault="007679BE" w:rsidP="007679BE">
      <w:pPr>
        <w:pStyle w:val="ParaText"/>
        <w:ind w:left="720"/>
        <w:contextualSpacing/>
        <w:rPr>
          <w:rFonts w:ascii="Arial" w:hAnsi="Arial" w:cs="Arial"/>
        </w:rPr>
      </w:pPr>
    </w:p>
    <w:p w14:paraId="322B206F" w14:textId="77777777" w:rsidR="007679BE" w:rsidRPr="00746F54" w:rsidRDefault="007679BE" w:rsidP="007679BE">
      <w:pPr>
        <w:pStyle w:val="ParaText"/>
        <w:spacing w:before="120"/>
        <w:rPr>
          <w:rFonts w:ascii="Arial" w:hAnsi="Arial" w:cs="Arial"/>
        </w:rPr>
      </w:pPr>
      <w:r w:rsidRPr="00746F54">
        <w:rPr>
          <w:rFonts w:ascii="Arial" w:hAnsi="Arial" w:cs="Arial"/>
        </w:rPr>
        <w:t>Through the Masterfile registration process, the registered EDAM Transmission Ownership Rights will be associated with a Contract Reference Number which will support the exercise of these transmission rights in the market.  The ISO will model these EDAM Transmission Ownership Rights in the same manner as current CAISO ETC/TOR rights to accommodate their use.</w:t>
      </w:r>
    </w:p>
    <w:p w14:paraId="3B88047D" w14:textId="77777777" w:rsidR="007679BE" w:rsidRPr="00746F54" w:rsidRDefault="007679BE" w:rsidP="007679BE">
      <w:pPr>
        <w:pStyle w:val="Heading2"/>
        <w:rPr>
          <w:rFonts w:ascii="Arial" w:hAnsi="Arial" w:cs="Arial"/>
        </w:rPr>
      </w:pPr>
      <w:bookmarkStart w:id="110" w:name="_Toc211337900"/>
      <w:bookmarkStart w:id="111" w:name="_Toc228963698"/>
      <w:r w:rsidRPr="00746F54">
        <w:rPr>
          <w:rFonts w:ascii="Arial" w:hAnsi="Arial" w:cs="Arial"/>
        </w:rPr>
        <w:t>Availability and Scheduling of EDAM Transmission Ownership Rights</w:t>
      </w:r>
      <w:bookmarkEnd w:id="110"/>
      <w:bookmarkEnd w:id="111"/>
    </w:p>
    <w:p w14:paraId="6C20F1CB" w14:textId="77777777" w:rsidR="007679BE" w:rsidRPr="00746F54" w:rsidRDefault="007679BE" w:rsidP="007679BE">
      <w:pPr>
        <w:pStyle w:val="ParaText"/>
        <w:rPr>
          <w:rFonts w:ascii="Arial" w:hAnsi="Arial" w:cs="Arial"/>
        </w:rPr>
      </w:pPr>
      <w:r w:rsidRPr="00746F54">
        <w:rPr>
          <w:rFonts w:ascii="Arial" w:hAnsi="Arial" w:cs="Arial"/>
        </w:rPr>
        <w:t xml:space="preserve">An EDAM Transmission Ownership Rights holder, through their Scheduling Coordinator, may exercise these transmission rights in the day-ahead and real-time markets.  To exercise the EDAM Transmission Ownership Rights, the Scheduling Coordinator must submit a Self-Schedule for </w:t>
      </w:r>
      <w:proofErr w:type="gramStart"/>
      <w:r w:rsidRPr="00746F54">
        <w:rPr>
          <w:rFonts w:ascii="Arial" w:hAnsi="Arial" w:cs="Arial"/>
        </w:rPr>
        <w:t>all</w:t>
      </w:r>
      <w:proofErr w:type="gramEnd"/>
      <w:r w:rsidRPr="00746F54">
        <w:rPr>
          <w:rFonts w:ascii="Arial" w:hAnsi="Arial" w:cs="Arial"/>
        </w:rPr>
        <w:t xml:space="preserve"> or a portion of the capacity associated with a Contract Reference Number representing the transmission rights registered in Masterfile.  EDAM Transmission Ownership Rights cannot be exercised through the submission of an economic bid in the market. </w:t>
      </w:r>
    </w:p>
    <w:p w14:paraId="46E8F667" w14:textId="08858F7E" w:rsidR="007679BE" w:rsidRPr="00746F54" w:rsidRDefault="007679BE" w:rsidP="007679BE">
      <w:pPr>
        <w:pStyle w:val="ParaText"/>
        <w:rPr>
          <w:rFonts w:ascii="Arial" w:hAnsi="Arial" w:cs="Arial"/>
        </w:rPr>
      </w:pPr>
      <w:r w:rsidRPr="00746F54">
        <w:rPr>
          <w:rFonts w:ascii="Arial" w:hAnsi="Arial" w:cs="Arial"/>
        </w:rPr>
        <w:t xml:space="preserve">The SIBR system will validate submitted Self-Schedules associated with Contract Reference Numbers representing EDAM Transmission Ownership Rights under the procedures described in section 16.6 of the </w:t>
      </w:r>
      <w:r w:rsidR="00B60E1B" w:rsidRPr="00746F54">
        <w:rPr>
          <w:rFonts w:ascii="Arial" w:hAnsi="Arial" w:cs="Arial"/>
        </w:rPr>
        <w:t>T</w:t>
      </w:r>
      <w:r w:rsidRPr="00746F54">
        <w:rPr>
          <w:rFonts w:ascii="Arial" w:hAnsi="Arial" w:cs="Arial"/>
        </w:rPr>
        <w:t xml:space="preserve">ariff.  Submitted </w:t>
      </w:r>
      <w:r w:rsidR="00B60E1B" w:rsidRPr="00746F54">
        <w:rPr>
          <w:rFonts w:ascii="Arial" w:hAnsi="Arial" w:cs="Arial"/>
        </w:rPr>
        <w:t xml:space="preserve">balanced </w:t>
      </w:r>
      <w:r w:rsidRPr="00746F54">
        <w:rPr>
          <w:rFonts w:ascii="Arial" w:hAnsi="Arial" w:cs="Arial"/>
        </w:rPr>
        <w:t xml:space="preserve">Self-Schedules exercising their EDAM Transmission Ownership Rights as described in this section will receive a market clearing priority commensurate with all ETC/TOR rights and the registered characteristics of those transmission rights, consistent with section 16.5 of the tariff.   </w:t>
      </w:r>
    </w:p>
    <w:p w14:paraId="7241986B" w14:textId="77777777" w:rsidR="007679BE" w:rsidRPr="00746F54" w:rsidRDefault="007679BE" w:rsidP="007679BE">
      <w:pPr>
        <w:pStyle w:val="ParaText"/>
        <w:rPr>
          <w:rFonts w:ascii="Arial" w:hAnsi="Arial" w:cs="Arial"/>
        </w:rPr>
      </w:pPr>
      <w:r w:rsidRPr="00746F54">
        <w:rPr>
          <w:rFonts w:ascii="Arial" w:hAnsi="Arial" w:cs="Arial"/>
        </w:rPr>
        <w:t xml:space="preserve">EDAM Transmission Ownership Rights exercised through Self-Schedules associated with a Contract Reference Numbers will be settled directly with the Scheduling Coordinator at the LMP </w:t>
      </w:r>
      <w:proofErr w:type="gramStart"/>
      <w:r w:rsidRPr="00746F54">
        <w:rPr>
          <w:rFonts w:ascii="Arial" w:hAnsi="Arial" w:cs="Arial"/>
        </w:rPr>
        <w:lastRenderedPageBreak/>
        <w:t>similar to</w:t>
      </w:r>
      <w:proofErr w:type="gramEnd"/>
      <w:r w:rsidRPr="00746F54">
        <w:rPr>
          <w:rFonts w:ascii="Arial" w:hAnsi="Arial" w:cs="Arial"/>
        </w:rPr>
        <w:t xml:space="preserve"> other day-ahead awards.  The balanced portion of the resulting market schedule associated with the EDAM Transmission Ownership Rights will be eligible for mitigation of congestion costs by reversing the Marginal Cost of Congestion component of the LMP difference between the balanced source day-ahead schedule and the sink day-ahead schedule.  For further information on settlements associated with EDAM Transmission Ownership Rights, please refer to the Settlements Business Practice Manual.  </w:t>
      </w:r>
    </w:p>
    <w:p w14:paraId="59813A41" w14:textId="77777777" w:rsidR="007679BE" w:rsidRPr="00746F54" w:rsidRDefault="007679BE" w:rsidP="007679BE">
      <w:pPr>
        <w:pStyle w:val="ParaText"/>
        <w:rPr>
          <w:rFonts w:ascii="Arial" w:hAnsi="Arial" w:cs="Arial"/>
        </w:rPr>
      </w:pPr>
      <w:r w:rsidRPr="00746F54">
        <w:rPr>
          <w:rFonts w:ascii="Arial" w:hAnsi="Arial" w:cs="Arial"/>
        </w:rPr>
        <w:t>When exercising the EDAM Transmission Ownership Rights through the processes described above, the Scheduling Coordinator must coordinate the use and scheduling of these rights with the EDAM Entity.  This will allow the EDAM Entity to timely communicate to the market the transmission capacity available for EDAM Transfers.</w:t>
      </w:r>
    </w:p>
    <w:p w14:paraId="4DA4B358" w14:textId="06DE984A" w:rsidR="007679BE" w:rsidRPr="00746F54" w:rsidRDefault="007679BE" w:rsidP="007679BE">
      <w:pPr>
        <w:pStyle w:val="ParaText"/>
        <w:rPr>
          <w:rFonts w:ascii="Arial" w:hAnsi="Arial" w:cs="Arial"/>
        </w:rPr>
      </w:pPr>
      <w:r w:rsidRPr="00746F54">
        <w:rPr>
          <w:rFonts w:ascii="Arial" w:hAnsi="Arial" w:cs="Arial"/>
        </w:rPr>
        <w:t xml:space="preserve">If the EDAM Transmission Ownership Rights holder is also a transmission service provider enabling the sale of these rights through the open access transmission tariff, and executes an EDAM Transmission Service Provider Agreement, its transmission customers will register those transmission </w:t>
      </w:r>
      <w:r w:rsidR="00B60E1B" w:rsidRPr="00746F54">
        <w:rPr>
          <w:rFonts w:ascii="Arial" w:hAnsi="Arial" w:cs="Arial"/>
        </w:rPr>
        <w:t>rights,</w:t>
      </w:r>
      <w:r w:rsidRPr="00746F54">
        <w:rPr>
          <w:rFonts w:ascii="Arial" w:hAnsi="Arial" w:cs="Arial"/>
        </w:rPr>
        <w:t xml:space="preserve"> and these transmission rights will be considered tariff transmission service and subject to the processes described in section 6 of this BPM.  </w:t>
      </w:r>
    </w:p>
    <w:p w14:paraId="428107BE" w14:textId="77777777" w:rsidR="007679BE" w:rsidRPr="00746F54" w:rsidRDefault="007679BE" w:rsidP="007679BE">
      <w:pPr>
        <w:pStyle w:val="Heading1"/>
        <w:rPr>
          <w:rFonts w:ascii="Arial" w:hAnsi="Arial" w:cs="Arial"/>
        </w:rPr>
      </w:pPr>
      <w:bookmarkStart w:id="112" w:name="_Toc211337901"/>
      <w:bookmarkStart w:id="113" w:name="_Toc228963699"/>
      <w:r w:rsidRPr="00746F54">
        <w:rPr>
          <w:rFonts w:ascii="Arial" w:hAnsi="Arial" w:cs="Arial"/>
        </w:rPr>
        <w:t>Tariff Transmission Service by EDAM Transmission Service Providers</w:t>
      </w:r>
      <w:bookmarkEnd w:id="112"/>
      <w:bookmarkEnd w:id="113"/>
      <w:r w:rsidRPr="00746F54">
        <w:rPr>
          <w:rFonts w:ascii="Arial" w:hAnsi="Arial" w:cs="Arial"/>
        </w:rPr>
        <w:t xml:space="preserve"> </w:t>
      </w:r>
    </w:p>
    <w:p w14:paraId="6B12D684" w14:textId="77777777" w:rsidR="007679BE" w:rsidRPr="00746F54" w:rsidRDefault="007679BE" w:rsidP="007679BE">
      <w:pPr>
        <w:pStyle w:val="ParaText"/>
        <w:rPr>
          <w:rFonts w:ascii="Arial" w:hAnsi="Arial" w:cs="Arial"/>
        </w:rPr>
      </w:pPr>
      <w:r w:rsidRPr="00746F54">
        <w:rPr>
          <w:rFonts w:ascii="Arial" w:hAnsi="Arial" w:cs="Arial"/>
        </w:rPr>
        <w:t>The market includes in its Full Network Model the full transmission system and associated capability</w:t>
      </w:r>
      <w:r w:rsidRPr="00746F54" w:rsidDel="008D3D1A">
        <w:rPr>
          <w:rFonts w:ascii="Arial" w:hAnsi="Arial" w:cs="Arial"/>
        </w:rPr>
        <w:t xml:space="preserve"> </w:t>
      </w:r>
      <w:r w:rsidRPr="00746F54">
        <w:rPr>
          <w:rFonts w:ascii="Arial" w:hAnsi="Arial" w:cs="Arial"/>
        </w:rPr>
        <w:t xml:space="preserve">to support Day-Ahead Market unit commitments and Real-Time Market dispatch.  Transmission customers holding firm transmission rights under the EDAM Transmission Service Provider Open Access Transmission Tariff (OATT), </w:t>
      </w:r>
      <w:proofErr w:type="gramStart"/>
      <w:r w:rsidRPr="00746F54">
        <w:rPr>
          <w:rFonts w:ascii="Arial" w:hAnsi="Arial" w:cs="Arial"/>
        </w:rPr>
        <w:t>are able to</w:t>
      </w:r>
      <w:proofErr w:type="gramEnd"/>
      <w:r w:rsidRPr="00746F54">
        <w:rPr>
          <w:rFonts w:ascii="Arial" w:hAnsi="Arial" w:cs="Arial"/>
        </w:rPr>
        <w:t xml:space="preserve"> register these transmission rights with the market to support the exercise of these rights in the market.  This section of the business practice describes:</w:t>
      </w:r>
    </w:p>
    <w:p w14:paraId="4CBC85A1" w14:textId="77777777" w:rsidR="007679BE" w:rsidRPr="00746F54" w:rsidRDefault="007679BE" w:rsidP="007679BE">
      <w:pPr>
        <w:pStyle w:val="ParaText"/>
        <w:numPr>
          <w:ilvl w:val="0"/>
          <w:numId w:val="88"/>
        </w:numPr>
        <w:rPr>
          <w:rFonts w:ascii="Arial" w:hAnsi="Arial" w:cs="Arial"/>
        </w:rPr>
      </w:pPr>
      <w:r w:rsidRPr="00746F54">
        <w:rPr>
          <w:rFonts w:ascii="Arial" w:hAnsi="Arial" w:cs="Arial"/>
        </w:rPr>
        <w:t>How OATT transmission rights are registered with the market.</w:t>
      </w:r>
    </w:p>
    <w:p w14:paraId="775F5F1B" w14:textId="77777777" w:rsidR="007679BE" w:rsidRPr="00746F54" w:rsidRDefault="007679BE" w:rsidP="007679BE">
      <w:pPr>
        <w:pStyle w:val="ParaText"/>
        <w:numPr>
          <w:ilvl w:val="0"/>
          <w:numId w:val="88"/>
        </w:numPr>
        <w:rPr>
          <w:rFonts w:ascii="Arial" w:hAnsi="Arial" w:cs="Arial"/>
        </w:rPr>
      </w:pPr>
      <w:r w:rsidRPr="00746F54">
        <w:rPr>
          <w:rFonts w:ascii="Arial" w:hAnsi="Arial" w:cs="Arial"/>
        </w:rPr>
        <w:t>How OATT transmission rights are exercised through the market.</w:t>
      </w:r>
    </w:p>
    <w:p w14:paraId="20D0850C" w14:textId="77777777" w:rsidR="007679BE" w:rsidRPr="00746F54" w:rsidRDefault="007679BE" w:rsidP="007679BE">
      <w:pPr>
        <w:pStyle w:val="ParaText"/>
        <w:numPr>
          <w:ilvl w:val="0"/>
          <w:numId w:val="88"/>
        </w:numPr>
        <w:rPr>
          <w:rFonts w:ascii="Arial" w:hAnsi="Arial" w:cs="Arial"/>
        </w:rPr>
      </w:pPr>
      <w:r w:rsidRPr="00746F54">
        <w:rPr>
          <w:rFonts w:ascii="Arial" w:hAnsi="Arial" w:cs="Arial"/>
        </w:rPr>
        <w:t>How transmission capability at the interties between EDAM balancing areas is made available to support optimized market transfers.</w:t>
      </w:r>
    </w:p>
    <w:p w14:paraId="7A8CE91C" w14:textId="77777777" w:rsidR="007679BE" w:rsidRPr="00746F54" w:rsidRDefault="007679BE" w:rsidP="007679BE">
      <w:pPr>
        <w:pStyle w:val="Heading2"/>
        <w:rPr>
          <w:rFonts w:ascii="Arial" w:hAnsi="Arial" w:cs="Arial"/>
        </w:rPr>
      </w:pPr>
      <w:bookmarkStart w:id="114" w:name="_Toc211337902"/>
      <w:bookmarkStart w:id="115" w:name="_Toc228963700"/>
      <w:r w:rsidRPr="00746F54">
        <w:rPr>
          <w:rFonts w:ascii="Arial" w:hAnsi="Arial" w:cs="Arial"/>
        </w:rPr>
        <w:t>Registration of OATT Transmission Rights</w:t>
      </w:r>
      <w:bookmarkEnd w:id="114"/>
      <w:bookmarkEnd w:id="115"/>
    </w:p>
    <w:p w14:paraId="0AD7C984" w14:textId="77777777" w:rsidR="007679BE" w:rsidRPr="00746F54" w:rsidRDefault="007679BE" w:rsidP="007679BE">
      <w:pPr>
        <w:pStyle w:val="ParaText"/>
        <w:rPr>
          <w:rFonts w:ascii="Arial" w:hAnsi="Arial" w:cs="Arial"/>
        </w:rPr>
      </w:pPr>
      <w:r w:rsidRPr="00746F54">
        <w:rPr>
          <w:rFonts w:ascii="Arial" w:hAnsi="Arial" w:cs="Arial"/>
        </w:rPr>
        <w:t xml:space="preserve">Consistent with section 33.18 of the Tariff, the EDAM entity in coordination with the transmission customer will provide the necessary information and any necessary instructions to enable representation of the transmission rights in the market.  The qualifying OATT transmission rights </w:t>
      </w:r>
      <w:r w:rsidRPr="00746F54">
        <w:rPr>
          <w:rFonts w:ascii="Arial" w:hAnsi="Arial" w:cs="Arial"/>
        </w:rPr>
        <w:lastRenderedPageBreak/>
        <w:t xml:space="preserve">registered with the market are firm and conditional firm point-to-point (PTP) and network integration transmission service (NITS) of a yearly, monthly, weekly, daily and hourly duration as provided under the EDAM entity and EDAM transmission provider OATT.  </w:t>
      </w:r>
    </w:p>
    <w:p w14:paraId="135A87A0" w14:textId="77777777" w:rsidR="007679BE" w:rsidRPr="00746F54" w:rsidRDefault="007679BE" w:rsidP="007679BE">
      <w:pPr>
        <w:pStyle w:val="ParaText"/>
        <w:rPr>
          <w:rFonts w:ascii="Arial" w:hAnsi="Arial" w:cs="Arial"/>
        </w:rPr>
      </w:pPr>
      <w:r w:rsidRPr="00746F54">
        <w:rPr>
          <w:rFonts w:ascii="Arial" w:hAnsi="Arial" w:cs="Arial"/>
        </w:rPr>
        <w:t>The Scheduling Coordinator for the transmission customer holding qualified OATT transmission service rights under the OATT will register these and provide the market with the necessary information reflective of the transmission rights. The qualified OATT transmission rights will be registered in Masterfile, identifying the following information associated with the transmission rights:</w:t>
      </w:r>
    </w:p>
    <w:p w14:paraId="1311C138"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EDAM balancing area (EDAM entity)</w:t>
      </w:r>
    </w:p>
    <w:p w14:paraId="2B2E4EBF" w14:textId="77777777" w:rsidR="007679BE" w:rsidRPr="00746F54" w:rsidRDefault="007679BE" w:rsidP="007679BE">
      <w:pPr>
        <w:pStyle w:val="ParaText"/>
        <w:numPr>
          <w:ilvl w:val="1"/>
          <w:numId w:val="85"/>
        </w:numPr>
        <w:spacing w:line="240" w:lineRule="auto"/>
        <w:contextualSpacing/>
        <w:rPr>
          <w:rFonts w:ascii="Arial" w:hAnsi="Arial" w:cs="Arial"/>
        </w:rPr>
      </w:pPr>
      <w:r w:rsidRPr="00746F54">
        <w:rPr>
          <w:rFonts w:ascii="Arial" w:hAnsi="Arial" w:cs="Arial"/>
        </w:rPr>
        <w:t>Transfer Location ID (optional): used to validate TSR Type 1 bids and Released Capacity bids at that Transfer location</w:t>
      </w:r>
    </w:p>
    <w:p w14:paraId="2A8FC137" w14:textId="77777777" w:rsidR="007679BE" w:rsidRPr="00746F54" w:rsidRDefault="007679BE" w:rsidP="007679BE">
      <w:pPr>
        <w:pStyle w:val="ParaText"/>
        <w:numPr>
          <w:ilvl w:val="2"/>
          <w:numId w:val="85"/>
        </w:numPr>
        <w:spacing w:line="240" w:lineRule="auto"/>
        <w:contextualSpacing/>
        <w:rPr>
          <w:rFonts w:ascii="Arial" w:hAnsi="Arial" w:cs="Arial"/>
        </w:rPr>
      </w:pPr>
      <w:r w:rsidRPr="00746F54">
        <w:rPr>
          <w:rFonts w:ascii="Arial" w:hAnsi="Arial" w:cs="Arial"/>
        </w:rPr>
        <w:t>Transmission Customer SC ID</w:t>
      </w:r>
    </w:p>
    <w:p w14:paraId="67F42DED" w14:textId="77777777" w:rsidR="007679BE" w:rsidRPr="00746F54" w:rsidRDefault="007679BE" w:rsidP="007679BE">
      <w:pPr>
        <w:pStyle w:val="ParaText"/>
        <w:numPr>
          <w:ilvl w:val="3"/>
          <w:numId w:val="85"/>
        </w:numPr>
        <w:spacing w:line="240" w:lineRule="auto"/>
        <w:contextualSpacing/>
        <w:rPr>
          <w:rFonts w:ascii="Arial" w:hAnsi="Arial" w:cs="Arial"/>
        </w:rPr>
      </w:pPr>
      <w:r w:rsidRPr="00746F54">
        <w:rPr>
          <w:rFonts w:ascii="Arial" w:hAnsi="Arial" w:cs="Arial"/>
        </w:rPr>
        <w:t>Contract capacity for that Transmission Customer SC ID</w:t>
      </w:r>
    </w:p>
    <w:p w14:paraId="1D92B9DC" w14:textId="77777777" w:rsidR="007679BE" w:rsidRPr="00746F54" w:rsidRDefault="007679BE" w:rsidP="007679BE">
      <w:pPr>
        <w:pStyle w:val="ParaText"/>
        <w:numPr>
          <w:ilvl w:val="1"/>
          <w:numId w:val="85"/>
        </w:numPr>
        <w:spacing w:after="0" w:line="240" w:lineRule="auto"/>
        <w:ind w:left="1800"/>
        <w:contextualSpacing/>
        <w:rPr>
          <w:rFonts w:ascii="Arial" w:hAnsi="Arial" w:cs="Arial"/>
        </w:rPr>
      </w:pPr>
      <w:r w:rsidRPr="00746F54">
        <w:rPr>
          <w:rFonts w:ascii="Arial" w:hAnsi="Arial" w:cs="Arial"/>
        </w:rPr>
        <w:t>Resource ID (required for registered TSRs with physical source/sinks)</w:t>
      </w:r>
    </w:p>
    <w:p w14:paraId="20F101D1" w14:textId="77777777" w:rsidR="007679BE" w:rsidRPr="00746F54" w:rsidRDefault="007679BE" w:rsidP="007679BE">
      <w:pPr>
        <w:pStyle w:val="ParaText"/>
        <w:numPr>
          <w:ilvl w:val="2"/>
          <w:numId w:val="85"/>
        </w:numPr>
        <w:spacing w:after="0" w:line="240" w:lineRule="auto"/>
        <w:contextualSpacing/>
        <w:rPr>
          <w:rFonts w:ascii="Arial" w:hAnsi="Arial" w:cs="Arial"/>
        </w:rPr>
      </w:pPr>
      <w:r w:rsidRPr="00746F54">
        <w:rPr>
          <w:rFonts w:ascii="Arial" w:hAnsi="Arial" w:cs="Arial"/>
        </w:rPr>
        <w:t>Contract capacity for that resource ID</w:t>
      </w:r>
    </w:p>
    <w:p w14:paraId="58DF810C"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Type of OATT transmission service right and duration (NITS or PTP)</w:t>
      </w:r>
    </w:p>
    <w:p w14:paraId="11668633"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Physical Right Level: OATT 1 vs. OATT 2</w:t>
      </w:r>
    </w:p>
    <w:p w14:paraId="5ECDE5D7" w14:textId="7A1ED633" w:rsidR="008860AA" w:rsidRPr="00746F54" w:rsidRDefault="008860AA" w:rsidP="008860AA">
      <w:pPr>
        <w:pStyle w:val="ParaText"/>
        <w:numPr>
          <w:ilvl w:val="1"/>
          <w:numId w:val="85"/>
        </w:numPr>
        <w:spacing w:after="0" w:line="240" w:lineRule="auto"/>
        <w:contextualSpacing/>
        <w:rPr>
          <w:rFonts w:ascii="Arial" w:hAnsi="Arial" w:cs="Arial"/>
        </w:rPr>
      </w:pPr>
      <w:r w:rsidRPr="00746F54">
        <w:rPr>
          <w:rFonts w:ascii="Arial" w:hAnsi="Arial" w:cs="Arial"/>
        </w:rPr>
        <w:t>OATT 1 rights are afforded higher scheduling priority in real-time than day-ahead schedules</w:t>
      </w:r>
    </w:p>
    <w:p w14:paraId="367E565B" w14:textId="56E41BA9" w:rsidR="008860AA" w:rsidRPr="00746F54" w:rsidRDefault="008860AA" w:rsidP="00636D40">
      <w:pPr>
        <w:pStyle w:val="ParaText"/>
        <w:numPr>
          <w:ilvl w:val="1"/>
          <w:numId w:val="85"/>
        </w:numPr>
        <w:spacing w:after="0" w:line="240" w:lineRule="auto"/>
        <w:contextualSpacing/>
        <w:rPr>
          <w:rFonts w:ascii="Arial" w:hAnsi="Arial" w:cs="Arial"/>
        </w:rPr>
      </w:pPr>
      <w:r w:rsidRPr="00746F54">
        <w:rPr>
          <w:rFonts w:ascii="Arial" w:hAnsi="Arial" w:cs="Arial"/>
        </w:rPr>
        <w:t xml:space="preserve">OATT </w:t>
      </w:r>
      <w:proofErr w:type="gramStart"/>
      <w:r w:rsidRPr="00746F54">
        <w:rPr>
          <w:rFonts w:ascii="Arial" w:hAnsi="Arial" w:cs="Arial"/>
        </w:rPr>
        <w:t>2 rights</w:t>
      </w:r>
      <w:proofErr w:type="gramEnd"/>
      <w:r w:rsidRPr="00746F54">
        <w:rPr>
          <w:rFonts w:ascii="Arial" w:hAnsi="Arial" w:cs="Arial"/>
        </w:rPr>
        <w:t xml:space="preserve"> receive equal scheduling priority in real-time as day-ahead schedules</w:t>
      </w:r>
    </w:p>
    <w:p w14:paraId="25370807"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Physical source and sink locations</w:t>
      </w:r>
    </w:p>
    <w:p w14:paraId="4B3BC28B" w14:textId="77777777" w:rsidR="007679BE" w:rsidRPr="00746F54" w:rsidRDefault="007679BE" w:rsidP="007679BE">
      <w:pPr>
        <w:pStyle w:val="ListParagraph"/>
        <w:numPr>
          <w:ilvl w:val="0"/>
          <w:numId w:val="85"/>
        </w:numPr>
        <w:spacing w:after="0" w:line="240" w:lineRule="auto"/>
        <w:contextualSpacing/>
        <w:rPr>
          <w:rFonts w:ascii="Arial" w:hAnsi="Arial" w:cs="Arial"/>
        </w:rPr>
      </w:pPr>
      <w:r w:rsidRPr="00746F54">
        <w:rPr>
          <w:rFonts w:ascii="Arial" w:hAnsi="Arial" w:cs="Arial"/>
        </w:rPr>
        <w:t>Financial rights (if applicable)</w:t>
      </w:r>
    </w:p>
    <w:p w14:paraId="4EA32BB5" w14:textId="77777777" w:rsidR="007679BE" w:rsidRPr="00746F54" w:rsidRDefault="007679BE" w:rsidP="007679BE">
      <w:pPr>
        <w:pStyle w:val="ListParagraph"/>
        <w:numPr>
          <w:ilvl w:val="0"/>
          <w:numId w:val="85"/>
        </w:numPr>
        <w:spacing w:after="0" w:line="240" w:lineRule="auto"/>
        <w:contextualSpacing/>
        <w:rPr>
          <w:rFonts w:ascii="Arial" w:hAnsi="Arial" w:cs="Arial"/>
        </w:rPr>
      </w:pPr>
      <w:r w:rsidRPr="00746F54">
        <w:rPr>
          <w:rFonts w:ascii="Arial" w:hAnsi="Arial" w:cs="Arial"/>
        </w:rPr>
        <w:t>Financial source and sink locations (if applicable)</w:t>
      </w:r>
    </w:p>
    <w:p w14:paraId="64D09718" w14:textId="77777777" w:rsidR="007679BE" w:rsidRPr="00746F54" w:rsidRDefault="007679BE" w:rsidP="007679BE">
      <w:pPr>
        <w:pStyle w:val="ListParagraph"/>
        <w:numPr>
          <w:ilvl w:val="0"/>
          <w:numId w:val="85"/>
        </w:numPr>
        <w:spacing w:after="0" w:line="240" w:lineRule="auto"/>
        <w:contextualSpacing/>
        <w:rPr>
          <w:rFonts w:ascii="Arial" w:hAnsi="Arial" w:cs="Arial"/>
        </w:rPr>
      </w:pPr>
      <w:r w:rsidRPr="00746F54">
        <w:rPr>
          <w:rFonts w:ascii="Arial" w:hAnsi="Arial" w:cs="Arial"/>
        </w:rPr>
        <w:t>Financial SC (if applicable)</w:t>
      </w:r>
    </w:p>
    <w:p w14:paraId="3141537A"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Start and stop dates (duration)</w:t>
      </w:r>
    </w:p>
    <w:p w14:paraId="322C4E68"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MW quantity</w:t>
      </w:r>
    </w:p>
    <w:p w14:paraId="68C8B283" w14:textId="77777777" w:rsidR="007679BE" w:rsidRPr="00746F54" w:rsidRDefault="007679BE" w:rsidP="007679BE">
      <w:pPr>
        <w:pStyle w:val="ParaText"/>
        <w:numPr>
          <w:ilvl w:val="0"/>
          <w:numId w:val="85"/>
        </w:numPr>
        <w:spacing w:after="0" w:line="240" w:lineRule="auto"/>
        <w:contextualSpacing/>
        <w:rPr>
          <w:rFonts w:ascii="Arial" w:hAnsi="Arial" w:cs="Arial"/>
        </w:rPr>
      </w:pPr>
      <w:r w:rsidRPr="00746F54">
        <w:rPr>
          <w:rFonts w:ascii="Arial" w:hAnsi="Arial" w:cs="Arial"/>
        </w:rPr>
        <w:t>Any associated special instructions (if applicable) provided pursuant to section 16.4 of the Tariff</w:t>
      </w:r>
    </w:p>
    <w:p w14:paraId="76753769" w14:textId="77777777" w:rsidR="007679BE" w:rsidRPr="00746F54" w:rsidRDefault="007679BE" w:rsidP="007679BE">
      <w:pPr>
        <w:pStyle w:val="ParaText"/>
        <w:spacing w:line="240" w:lineRule="auto"/>
        <w:ind w:left="720"/>
        <w:contextualSpacing/>
        <w:rPr>
          <w:rFonts w:ascii="Arial" w:hAnsi="Arial" w:cs="Arial"/>
        </w:rPr>
      </w:pPr>
    </w:p>
    <w:p w14:paraId="09DB9F99" w14:textId="77777777" w:rsidR="007679BE" w:rsidRPr="00746F54" w:rsidRDefault="007679BE" w:rsidP="007679BE">
      <w:pPr>
        <w:pStyle w:val="ParaText"/>
        <w:rPr>
          <w:rFonts w:ascii="Arial" w:hAnsi="Arial" w:cs="Arial"/>
        </w:rPr>
      </w:pPr>
      <w:r w:rsidRPr="00746F54">
        <w:rPr>
          <w:rFonts w:ascii="Arial" w:hAnsi="Arial" w:cs="Arial"/>
        </w:rPr>
        <w:t>The ISO will process Masterfile change requests within 5-11 business days, and market participants should consider these timelines when submitting registrations of transmission rights.</w:t>
      </w:r>
      <w:r w:rsidRPr="00746F54" w:rsidDel="00E72BB6">
        <w:rPr>
          <w:rFonts w:ascii="Arial" w:hAnsi="Arial" w:cs="Arial"/>
        </w:rPr>
        <w:t xml:space="preserve"> </w:t>
      </w:r>
      <w:r w:rsidRPr="00746F54">
        <w:rPr>
          <w:rFonts w:ascii="Arial" w:hAnsi="Arial" w:cs="Arial"/>
        </w:rPr>
        <w:t xml:space="preserve">Through the Masterfile registration process, the registered EDAM Transmission Ownership Rights will be associated with a Contract Reference Number which will support the exercise of these transmission rights in the market.  </w:t>
      </w:r>
    </w:p>
    <w:p w14:paraId="49866C26" w14:textId="77777777" w:rsidR="007679BE" w:rsidRPr="00746F54" w:rsidRDefault="007679BE" w:rsidP="007679BE">
      <w:pPr>
        <w:pStyle w:val="ParaText"/>
        <w:rPr>
          <w:rFonts w:ascii="Arial" w:hAnsi="Arial" w:cs="Arial"/>
        </w:rPr>
      </w:pPr>
      <w:r w:rsidRPr="00746F54">
        <w:rPr>
          <w:rFonts w:ascii="Arial" w:hAnsi="Arial" w:cs="Arial"/>
        </w:rPr>
        <w:t xml:space="preserve">Short-term firm OATT transmission rights, which may have a start date that does not lend itself for registration through the Masterfile process due to the 5-11 business day processing period, also can be registered with the market </w:t>
      </w:r>
      <w:r w:rsidRPr="00746F54" w:rsidDel="004F3EE2">
        <w:rPr>
          <w:rFonts w:ascii="Arial" w:hAnsi="Arial" w:cs="Arial"/>
        </w:rPr>
        <w:t>operator</w:t>
      </w:r>
      <w:r w:rsidRPr="00746F54">
        <w:rPr>
          <w:rFonts w:ascii="Arial" w:hAnsi="Arial" w:cs="Arial"/>
        </w:rPr>
        <w:t xml:space="preserve"> and exercised through the market:</w:t>
      </w:r>
    </w:p>
    <w:p w14:paraId="44EFD727" w14:textId="77777777" w:rsidR="007679BE" w:rsidRPr="00746F54" w:rsidRDefault="007679BE" w:rsidP="007679BE">
      <w:pPr>
        <w:pStyle w:val="ParaText"/>
        <w:numPr>
          <w:ilvl w:val="0"/>
          <w:numId w:val="93"/>
        </w:numPr>
        <w:rPr>
          <w:rFonts w:ascii="Arial" w:hAnsi="Arial" w:cs="Arial"/>
        </w:rPr>
      </w:pPr>
      <w:r w:rsidRPr="00746F54">
        <w:rPr>
          <w:rFonts w:ascii="Arial" w:hAnsi="Arial" w:cs="Arial"/>
          <w:i/>
          <w:iCs/>
        </w:rPr>
        <w:t>Short-term firm OATT transmission rights between EDAM balancing areas</w:t>
      </w:r>
      <w:r w:rsidRPr="00746F54">
        <w:rPr>
          <w:rFonts w:ascii="Arial" w:hAnsi="Arial" w:cs="Arial"/>
        </w:rPr>
        <w:t xml:space="preserve">: the Scheduling Coordinator for the transmission customer will establish a transient Transfer </w:t>
      </w:r>
      <w:r w:rsidRPr="00746F54">
        <w:rPr>
          <w:rFonts w:ascii="Arial" w:hAnsi="Arial" w:cs="Arial"/>
        </w:rPr>
        <w:lastRenderedPageBreak/>
        <w:t xml:space="preserve">System Resource (TSR) which reflects the transmission rights from source to sink across interties between EDAM balancing areas.  The transient TSR is not established in Masterfile, but through the Scheduling Infrastructure Business Rules (SIBR) system interface; however, to associate a contract reference number (CRN) with a transient TSR, the CRN must be registered in the Masterfile. The transient TSR must be established by 9:00 am prior to the operation of the Day-Ahead Market, and may be established in SIBR up to 7 days before the DAM run.  </w:t>
      </w:r>
    </w:p>
    <w:p w14:paraId="401DDBD8" w14:textId="77777777" w:rsidR="007679BE" w:rsidRPr="00746F54" w:rsidRDefault="007679BE" w:rsidP="007679BE">
      <w:pPr>
        <w:pStyle w:val="ParaText"/>
        <w:numPr>
          <w:ilvl w:val="0"/>
          <w:numId w:val="93"/>
        </w:numPr>
        <w:rPr>
          <w:rFonts w:ascii="Arial" w:hAnsi="Arial" w:cs="Arial"/>
        </w:rPr>
      </w:pPr>
      <w:r w:rsidRPr="00746F54">
        <w:rPr>
          <w:rFonts w:ascii="Arial" w:hAnsi="Arial" w:cs="Arial"/>
          <w:i/>
          <w:iCs/>
        </w:rPr>
        <w:t xml:space="preserve">Short-term firm OATT transmission rights for exporting out of or wheeling through an EDAM balancing area to a non-EDAM balancing area: </w:t>
      </w:r>
      <w:r w:rsidRPr="00746F54">
        <w:rPr>
          <w:rFonts w:ascii="Arial" w:hAnsi="Arial" w:cs="Arial"/>
        </w:rPr>
        <w:t xml:space="preserve">the Scheduling Coordinator for the transmission customer should pre-register in Masterfile potential transmission rights location in advance representing the location from which the transmission rights are likely to source and associated sink.  In Masterfile, these transmission rights should be associated with zero MW, and will receive an associated Contract Reference Number.  Once the short-term transmission rights are acquired, the scheduling coordinator will submit a self-schedule in SIBR and will identify the MW in SIBR through the bid associated with the transmission rights.  The market will afford the same market clearing priority to this self-schedule associated with a Contract Reference Number exercising short-term firm OATT transmission rights as the exercise of firm OATT transmission rights registered with the market regardless of duration.  </w:t>
      </w:r>
    </w:p>
    <w:p w14:paraId="5487BDCA" w14:textId="77777777" w:rsidR="007679BE" w:rsidRPr="00746F54" w:rsidRDefault="007679BE" w:rsidP="007679BE">
      <w:pPr>
        <w:pStyle w:val="Heading2"/>
        <w:rPr>
          <w:rFonts w:ascii="Arial" w:hAnsi="Arial" w:cs="Arial"/>
        </w:rPr>
      </w:pPr>
      <w:bookmarkStart w:id="116" w:name="_Toc211337903"/>
      <w:bookmarkStart w:id="117" w:name="_Toc228963701"/>
      <w:r w:rsidRPr="00746F54">
        <w:rPr>
          <w:rFonts w:ascii="Arial" w:hAnsi="Arial" w:cs="Arial"/>
        </w:rPr>
        <w:t>Scheduling the Exercise of OATT Transmission Rights</w:t>
      </w:r>
      <w:bookmarkEnd w:id="116"/>
      <w:bookmarkEnd w:id="117"/>
    </w:p>
    <w:p w14:paraId="7688E3CB" w14:textId="759B97B7" w:rsidR="007679BE" w:rsidRPr="00746F54" w:rsidRDefault="007679BE" w:rsidP="007679BE">
      <w:pPr>
        <w:pStyle w:val="ParaText"/>
        <w:rPr>
          <w:rFonts w:ascii="Arial" w:hAnsi="Arial" w:cs="Arial"/>
        </w:rPr>
      </w:pPr>
      <w:r w:rsidRPr="00746F54">
        <w:rPr>
          <w:rFonts w:ascii="Arial" w:hAnsi="Arial" w:cs="Arial"/>
        </w:rPr>
        <w:t xml:space="preserve">Transmission customers with qualifying OATT transmission rights registered with the market can schedule and exercise these rights in the </w:t>
      </w:r>
      <w:r w:rsidRPr="00746F54" w:rsidDel="00750440">
        <w:rPr>
          <w:rFonts w:ascii="Arial" w:hAnsi="Arial" w:cs="Arial"/>
        </w:rPr>
        <w:t>Day</w:t>
      </w:r>
      <w:r w:rsidRPr="00746F54">
        <w:rPr>
          <w:rFonts w:ascii="Arial" w:hAnsi="Arial" w:cs="Arial"/>
        </w:rPr>
        <w:t>-Ahead and Real-Time Markets.  To</w:t>
      </w:r>
      <w:r w:rsidRPr="00746F54" w:rsidDel="00E72BB6">
        <w:rPr>
          <w:rFonts w:ascii="Arial" w:hAnsi="Arial" w:cs="Arial"/>
        </w:rPr>
        <w:t xml:space="preserve"> </w:t>
      </w:r>
      <w:r w:rsidRPr="00746F54">
        <w:rPr>
          <w:rFonts w:ascii="Arial" w:hAnsi="Arial" w:cs="Arial"/>
        </w:rPr>
        <w:t xml:space="preserve">schedule the exercise of the registered OATT transmission rights, the scheduling coordinator must submit a self-schedule in the market associated with the contract reference number established through the </w:t>
      </w:r>
      <w:r w:rsidR="00B60E1B" w:rsidRPr="00746F54">
        <w:rPr>
          <w:rFonts w:ascii="Arial" w:hAnsi="Arial" w:cs="Arial"/>
        </w:rPr>
        <w:t>Master</w:t>
      </w:r>
      <w:r w:rsidR="008860AA" w:rsidRPr="00746F54">
        <w:rPr>
          <w:rFonts w:ascii="Arial" w:hAnsi="Arial" w:cs="Arial"/>
        </w:rPr>
        <w:t xml:space="preserve"> File </w:t>
      </w:r>
      <w:r w:rsidRPr="00746F54">
        <w:rPr>
          <w:rFonts w:ascii="Arial" w:hAnsi="Arial" w:cs="Arial"/>
        </w:rPr>
        <w:t xml:space="preserve">registration process which reflects that the self-schedule is explicitly utilizing the registered transmission rights.  The use of a contract reference number differentiates the self-schedule from a simple self-schedule that is not exercising its transmission rights.  </w:t>
      </w:r>
      <w:r w:rsidR="008860AA" w:rsidRPr="00746F54">
        <w:rPr>
          <w:rFonts w:ascii="Arial" w:hAnsi="Arial" w:cs="Arial"/>
        </w:rPr>
        <w:t>Note that EDAM OATT Transmission Rights cannot be exercised through the submission of an economic bid in the market.</w:t>
      </w:r>
    </w:p>
    <w:p w14:paraId="7C97D4C9" w14:textId="69B1E752" w:rsidR="007679BE" w:rsidRPr="00746F54" w:rsidRDefault="007679BE" w:rsidP="007679BE">
      <w:pPr>
        <w:pStyle w:val="ParaText"/>
        <w:rPr>
          <w:rFonts w:ascii="Arial" w:hAnsi="Arial" w:cs="Arial"/>
        </w:rPr>
      </w:pPr>
      <w:r w:rsidRPr="00746F54">
        <w:rPr>
          <w:rFonts w:ascii="Arial" w:hAnsi="Arial" w:cs="Arial"/>
        </w:rPr>
        <w:t>When these OATT transmission rights are exercised through a self-schedule associated with a contract reference number, the market</w:t>
      </w:r>
      <w:r w:rsidRPr="00746F54" w:rsidDel="004F3EE2">
        <w:rPr>
          <w:rFonts w:ascii="Arial" w:hAnsi="Arial" w:cs="Arial"/>
        </w:rPr>
        <w:t xml:space="preserve"> </w:t>
      </w:r>
      <w:r w:rsidRPr="00746F54">
        <w:rPr>
          <w:rFonts w:ascii="Arial" w:hAnsi="Arial" w:cs="Arial"/>
        </w:rPr>
        <w:t xml:space="preserve">will afford these self-schedules a market clearing priority over other self-schedules that are not exercising their transmission rights and other economic bids.  This will ensure that these schedules clear the market, depending upon the grid conditions, </w:t>
      </w:r>
      <w:proofErr w:type="gramStart"/>
      <w:r w:rsidRPr="00746F54">
        <w:rPr>
          <w:rFonts w:ascii="Arial" w:hAnsi="Arial" w:cs="Arial"/>
        </w:rPr>
        <w:t>and</w:t>
      </w:r>
      <w:proofErr w:type="gramEnd"/>
      <w:r w:rsidRPr="00746F54">
        <w:rPr>
          <w:rFonts w:ascii="Arial" w:hAnsi="Arial" w:cs="Arial"/>
        </w:rPr>
        <w:t xml:space="preserve"> are able to exercise and utilize their OATT transmission service rights.  </w:t>
      </w:r>
    </w:p>
    <w:p w14:paraId="67CB0E8A" w14:textId="398083E0" w:rsidR="007679BE" w:rsidRPr="00746F54" w:rsidRDefault="007679BE" w:rsidP="007679BE">
      <w:pPr>
        <w:pStyle w:val="ParaText"/>
        <w:rPr>
          <w:rFonts w:ascii="Arial" w:hAnsi="Arial" w:cs="Arial"/>
          <w:b/>
          <w:bCs/>
        </w:rPr>
      </w:pPr>
      <w:r w:rsidRPr="00746F54">
        <w:rPr>
          <w:rFonts w:ascii="Arial" w:hAnsi="Arial" w:cs="Arial"/>
        </w:rPr>
        <w:tab/>
      </w:r>
      <w:r w:rsidR="00C03530" w:rsidRPr="00746F54">
        <w:rPr>
          <w:rFonts w:ascii="Arial" w:hAnsi="Arial" w:cs="Arial"/>
          <w:b/>
          <w:bCs/>
        </w:rPr>
        <w:t>13</w:t>
      </w:r>
      <w:r w:rsidRPr="00746F54">
        <w:rPr>
          <w:rFonts w:ascii="Arial" w:hAnsi="Arial" w:cs="Arial"/>
          <w:b/>
          <w:bCs/>
        </w:rPr>
        <w:t>.2.1</w:t>
      </w:r>
      <w:r w:rsidRPr="00746F54">
        <w:rPr>
          <w:rFonts w:ascii="Arial" w:hAnsi="Arial" w:cs="Arial"/>
          <w:b/>
          <w:bCs/>
        </w:rPr>
        <w:tab/>
      </w:r>
      <w:r w:rsidRPr="00746F54">
        <w:rPr>
          <w:rStyle w:val="Heading3Char"/>
          <w:rFonts w:ascii="Arial" w:hAnsi="Arial" w:cs="Arial"/>
        </w:rPr>
        <w:t>Permissible Intra-Day Transmission Schedule Changes</w:t>
      </w:r>
    </w:p>
    <w:p w14:paraId="73F9B725" w14:textId="77777777" w:rsidR="007679BE" w:rsidRPr="00746F54" w:rsidRDefault="007679BE" w:rsidP="007679BE">
      <w:pPr>
        <w:pStyle w:val="ParaText"/>
        <w:rPr>
          <w:rFonts w:ascii="Arial" w:hAnsi="Arial" w:cs="Arial"/>
        </w:rPr>
      </w:pPr>
      <w:r w:rsidRPr="00746F54">
        <w:rPr>
          <w:rFonts w:ascii="Arial" w:hAnsi="Arial" w:cs="Arial"/>
        </w:rPr>
        <w:lastRenderedPageBreak/>
        <w:t>Scheduling coordinators representing transmission customers holding qualifying OATT transmission rights registered with the market can exercise these in the Day-Ahead Market and/or the Real-Time Market.  The scheduling coordinator can make permissible intra-day schedule changes associated with the exercise of the OATT transmission service right in accordance with section 33.18.</w:t>
      </w:r>
      <w:proofErr w:type="gramStart"/>
      <w:r w:rsidRPr="00746F54">
        <w:rPr>
          <w:rFonts w:ascii="Arial" w:hAnsi="Arial" w:cs="Arial"/>
        </w:rPr>
        <w:t>2.2.3</w:t>
      </w:r>
      <w:proofErr w:type="gramEnd"/>
      <w:r w:rsidRPr="00746F54">
        <w:rPr>
          <w:rFonts w:ascii="Arial" w:hAnsi="Arial" w:cs="Arial"/>
        </w:rPr>
        <w:t xml:space="preserve"> of the Tariff.</w:t>
      </w:r>
    </w:p>
    <w:p w14:paraId="4DF3FFAD" w14:textId="77777777" w:rsidR="007679BE" w:rsidRPr="00746F54" w:rsidRDefault="007679BE" w:rsidP="007679BE">
      <w:pPr>
        <w:pStyle w:val="ParaText"/>
        <w:rPr>
          <w:rFonts w:ascii="Arial" w:hAnsi="Arial" w:cs="Arial"/>
        </w:rPr>
      </w:pPr>
      <w:r w:rsidRPr="00746F54">
        <w:rPr>
          <w:rFonts w:ascii="Arial" w:hAnsi="Arial" w:cs="Arial"/>
        </w:rPr>
        <w:t xml:space="preserve">To the extent that the scheduling coordinator does schedule the use of </w:t>
      </w:r>
      <w:proofErr w:type="gramStart"/>
      <w:r w:rsidRPr="00746F54">
        <w:rPr>
          <w:rFonts w:ascii="Arial" w:hAnsi="Arial" w:cs="Arial"/>
        </w:rPr>
        <w:t>all of</w:t>
      </w:r>
      <w:proofErr w:type="gramEnd"/>
      <w:r w:rsidRPr="00746F54">
        <w:rPr>
          <w:rFonts w:ascii="Arial" w:hAnsi="Arial" w:cs="Arial"/>
        </w:rPr>
        <w:t xml:space="preserve"> its OATT transmission rights in the market, and otherwise does not release transmission at EDAM interties in advance of the Day-Ahead Market, the transmission customers may exercise its OATT transmission service rights later in advance of the Real-Time Market.  The scheduling coordinator for the transmission customer would submit a later, after the Day-Ahead Market closes, a self-schedule associated with a contract reference numbers exercising its remaining transmission rights and the ISO will accommodate that schedule in the Real-Time Market.  </w:t>
      </w:r>
    </w:p>
    <w:p w14:paraId="24A465CB" w14:textId="77777777" w:rsidR="007679BE" w:rsidRPr="00746F54" w:rsidRDefault="007679BE" w:rsidP="007679BE">
      <w:pPr>
        <w:pStyle w:val="ParaText"/>
        <w:rPr>
          <w:rFonts w:ascii="Arial" w:hAnsi="Arial" w:cs="Arial"/>
        </w:rPr>
      </w:pPr>
      <w:r w:rsidRPr="00746F54">
        <w:rPr>
          <w:rFonts w:ascii="Arial" w:hAnsi="Arial" w:cs="Arial"/>
        </w:rPr>
        <w:t xml:space="preserve">The Real-Time Market may redispatch generation, if necessary, to accommodate the later self-schedule associated with the OATT transmission service rights; the market will afford these self-schedules equal priority to cleared Day-Ahead Schedules and higher priority than other self-schedules not associated with the exercise of OATT transmission rights submitted in the Real-Time Market.  These actions and priorities will provide a high degree of confidence in accommodating the schedule change based on grid conditions.  </w:t>
      </w:r>
    </w:p>
    <w:p w14:paraId="51E1DD55" w14:textId="77777777" w:rsidR="007679BE" w:rsidRPr="00746F54" w:rsidRDefault="007679BE" w:rsidP="007679BE">
      <w:pPr>
        <w:pStyle w:val="ParaText"/>
        <w:rPr>
          <w:rFonts w:ascii="Arial" w:hAnsi="Arial" w:cs="Arial"/>
        </w:rPr>
      </w:pPr>
      <w:r w:rsidRPr="00746F54">
        <w:rPr>
          <w:rFonts w:ascii="Arial" w:hAnsi="Arial" w:cs="Arial"/>
        </w:rPr>
        <w:t xml:space="preserve">The EDAM Transmission Service Provider can provide instructions as to the level of priority to afford to schedules exercising their OATT transmission service rights through a self-schedule associated with a contract reference number, including higher priority than cleared Day-Ahead Schedules in accordance with the EDAM Transmission Service Provider tariff.  To the extent that there is a Real-Time Market infeasibility such that the market cannot accommodate the submitted schedules including the exercise of OATT transmission rights, the market defers to the EDAM entity to resolve that infeasibility and inform the market of how to prioritize the conflicting schedules contributing to the infeasibility.  </w:t>
      </w:r>
    </w:p>
    <w:p w14:paraId="60F4F5BF" w14:textId="124FEDFD" w:rsidR="007679BE" w:rsidRPr="00746F54" w:rsidRDefault="007679BE" w:rsidP="007679BE">
      <w:pPr>
        <w:pStyle w:val="ParaText"/>
        <w:rPr>
          <w:rFonts w:ascii="Arial" w:hAnsi="Arial" w:cs="Arial"/>
          <w:b/>
          <w:bCs/>
        </w:rPr>
      </w:pPr>
      <w:r w:rsidRPr="00746F54">
        <w:rPr>
          <w:rFonts w:ascii="Arial" w:hAnsi="Arial" w:cs="Arial"/>
        </w:rPr>
        <w:tab/>
      </w:r>
      <w:r w:rsidR="00C03530" w:rsidRPr="00746F54">
        <w:rPr>
          <w:rFonts w:ascii="Arial" w:hAnsi="Arial" w:cs="Arial"/>
          <w:b/>
          <w:bCs/>
        </w:rPr>
        <w:t>13</w:t>
      </w:r>
      <w:r w:rsidRPr="00746F54">
        <w:rPr>
          <w:rFonts w:ascii="Arial" w:hAnsi="Arial" w:cs="Arial"/>
          <w:b/>
          <w:bCs/>
        </w:rPr>
        <w:t>.2.1</w:t>
      </w:r>
      <w:r w:rsidRPr="00746F54">
        <w:rPr>
          <w:rFonts w:ascii="Arial" w:hAnsi="Arial" w:cs="Arial"/>
          <w:b/>
          <w:bCs/>
        </w:rPr>
        <w:tab/>
      </w:r>
      <w:r w:rsidRPr="00746F54">
        <w:rPr>
          <w:rStyle w:val="Heading3Char"/>
          <w:rFonts w:ascii="Arial" w:hAnsi="Arial" w:cs="Arial"/>
        </w:rPr>
        <w:t>Settlements Associated with the Exercise of OATT Transmission Service Rights</w:t>
      </w:r>
    </w:p>
    <w:p w14:paraId="3084817F" w14:textId="1111DB42" w:rsidR="007679BE" w:rsidRPr="00746F54" w:rsidRDefault="007679BE" w:rsidP="007679BE">
      <w:pPr>
        <w:pStyle w:val="ParaText"/>
        <w:rPr>
          <w:rFonts w:ascii="Arial" w:hAnsi="Arial" w:cs="Arial"/>
        </w:rPr>
      </w:pPr>
      <w:r w:rsidRPr="00746F54">
        <w:rPr>
          <w:rFonts w:ascii="Arial" w:hAnsi="Arial" w:cs="Arial"/>
        </w:rPr>
        <w:t xml:space="preserve">The energy associated with the Self-Schedule submitted </w:t>
      </w:r>
      <w:proofErr w:type="gramStart"/>
      <w:r w:rsidRPr="00746F54">
        <w:rPr>
          <w:rFonts w:ascii="Arial" w:hAnsi="Arial" w:cs="Arial"/>
        </w:rPr>
        <w:t>associated</w:t>
      </w:r>
      <w:proofErr w:type="gramEnd"/>
      <w:r w:rsidRPr="00746F54">
        <w:rPr>
          <w:rFonts w:ascii="Arial" w:hAnsi="Arial" w:cs="Arial"/>
        </w:rPr>
        <w:t xml:space="preserve"> with a contract reference number exercising its OATT transmission service rights will be settled by the market</w:t>
      </w:r>
      <w:r w:rsidRPr="00746F54" w:rsidDel="004F3EE2">
        <w:rPr>
          <w:rFonts w:ascii="Arial" w:hAnsi="Arial" w:cs="Arial"/>
        </w:rPr>
        <w:t xml:space="preserve"> </w:t>
      </w:r>
      <w:r w:rsidRPr="00746F54">
        <w:rPr>
          <w:rFonts w:ascii="Arial" w:hAnsi="Arial" w:cs="Arial"/>
        </w:rPr>
        <w:t xml:space="preserve">with the scheduling coordinator for the registered OATT transmission service rights.  Congestion revenues associated with the Self-Scheduled exercising the OATT transmission service rights will be settled with the EDAM entity for further sub-allocation under the terms of its tariff.  For a comprehensive description of the settlements associated with the exercise of OATT </w:t>
      </w:r>
      <w:r w:rsidRPr="00746F54">
        <w:rPr>
          <w:rFonts w:ascii="Arial" w:hAnsi="Arial" w:cs="Arial"/>
        </w:rPr>
        <w:lastRenderedPageBreak/>
        <w:t xml:space="preserve">transmission service rights, please refer to the </w:t>
      </w:r>
      <w:r w:rsidRPr="00746F54">
        <w:rPr>
          <w:rFonts w:ascii="Arial" w:hAnsi="Arial" w:cs="Arial"/>
          <w:i/>
          <w:iCs/>
        </w:rPr>
        <w:t xml:space="preserve">Settlements and Billing </w:t>
      </w:r>
      <w:r w:rsidRPr="00746F54">
        <w:rPr>
          <w:rFonts w:ascii="Arial" w:hAnsi="Arial" w:cs="Arial"/>
        </w:rPr>
        <w:t xml:space="preserve">Business Practice Manual.  </w:t>
      </w:r>
    </w:p>
    <w:p w14:paraId="6668A832" w14:textId="77777777" w:rsidR="007679BE" w:rsidRPr="00746F54" w:rsidRDefault="007679BE" w:rsidP="007679BE">
      <w:pPr>
        <w:pStyle w:val="Heading2"/>
        <w:rPr>
          <w:rFonts w:ascii="Arial" w:hAnsi="Arial" w:cs="Arial"/>
        </w:rPr>
      </w:pPr>
      <w:bookmarkStart w:id="118" w:name="_Toc211337904"/>
      <w:bookmarkStart w:id="119" w:name="_Toc228963702"/>
      <w:r w:rsidRPr="00746F54">
        <w:rPr>
          <w:rFonts w:ascii="Arial" w:hAnsi="Arial" w:cs="Arial"/>
        </w:rPr>
        <w:t>Transmission at EDAM Interties Supporting EDAM Transfers</w:t>
      </w:r>
      <w:bookmarkEnd w:id="118"/>
      <w:bookmarkEnd w:id="119"/>
    </w:p>
    <w:p w14:paraId="580975CE" w14:textId="77777777" w:rsidR="007679BE" w:rsidRPr="00746F54" w:rsidRDefault="007679BE" w:rsidP="007679BE">
      <w:pPr>
        <w:pStyle w:val="ParaText"/>
        <w:rPr>
          <w:rFonts w:ascii="Arial" w:hAnsi="Arial" w:cs="Arial"/>
        </w:rPr>
      </w:pPr>
      <w:r w:rsidRPr="00746F54">
        <w:rPr>
          <w:rFonts w:ascii="Arial" w:hAnsi="Arial" w:cs="Arial"/>
        </w:rPr>
        <w:t xml:space="preserve">In EDAM, transmission capability at interties between EDAM balancing areas is made available to the Day-Ahead Market to support efficient energy transfers.  The EDAM Transmission Provider and transmission customers holding OATT transmission rights registered with the market make transmission capability available at the interties for energy transfers.  The EDAM entity scheduling coordinator is responsible for identifying the transmission limits at EDAM interties available for supporting EDAM transfers and submitting associated transfer e-tags as described in section 33.18.2 of the Tariff.    </w:t>
      </w:r>
    </w:p>
    <w:p w14:paraId="7DF95266" w14:textId="77777777" w:rsidR="007679BE" w:rsidRPr="00746F54" w:rsidRDefault="007679BE" w:rsidP="007679BE">
      <w:pPr>
        <w:pStyle w:val="Heading3"/>
        <w:rPr>
          <w:rFonts w:ascii="Arial" w:hAnsi="Arial" w:cs="Arial"/>
        </w:rPr>
      </w:pPr>
      <w:bookmarkStart w:id="120" w:name="_Toc211337905"/>
      <w:r w:rsidRPr="00746F54">
        <w:rPr>
          <w:rFonts w:ascii="Arial" w:hAnsi="Arial" w:cs="Arial"/>
        </w:rPr>
        <w:t>Transmission at EDAM Interties Supporting Resource Sufficiency</w:t>
      </w:r>
      <w:bookmarkEnd w:id="120"/>
    </w:p>
    <w:p w14:paraId="60DB08D7" w14:textId="77777777" w:rsidR="007679BE" w:rsidRPr="00746F54" w:rsidRDefault="007679BE" w:rsidP="007679BE">
      <w:pPr>
        <w:pStyle w:val="ParaText"/>
        <w:rPr>
          <w:rFonts w:ascii="Arial" w:hAnsi="Arial" w:cs="Arial"/>
        </w:rPr>
      </w:pPr>
      <w:r w:rsidRPr="00746F54">
        <w:rPr>
          <w:rFonts w:ascii="Arial" w:hAnsi="Arial" w:cs="Arial"/>
        </w:rPr>
        <w:t xml:space="preserve">Transmission capability supporting delivery of contracted generation across an intertie between two EDAM balancing areas is made available to the market to support market optimized EDAM energy transfers as described in section 33.18.2.1 of the Tariff.  The OATT transmission rights supporting the resource sufficiency evaluation consist of firm or conditional firm PTP rights or NITS service at EDAM interties.   </w:t>
      </w:r>
    </w:p>
    <w:p w14:paraId="4DEF0EA0" w14:textId="1BC14BBA" w:rsidR="007679BE" w:rsidRPr="00746F54" w:rsidRDefault="007679BE" w:rsidP="007679BE">
      <w:pPr>
        <w:pStyle w:val="ParaText"/>
        <w:rPr>
          <w:rFonts w:ascii="Arial" w:hAnsi="Arial" w:cs="Arial"/>
        </w:rPr>
      </w:pPr>
      <w:r w:rsidRPr="00746F54">
        <w:rPr>
          <w:rFonts w:ascii="Arial" w:hAnsi="Arial" w:cs="Arial"/>
        </w:rPr>
        <w:t xml:space="preserve">The transmission customers, and associated scheduling coordinators, will coordinate with the EDAM entity to establish Transfer System Resources (TSR) associated with contracted generation and transmission rights supporting the EDAM balancing area resource sufficiency evaluation.  </w:t>
      </w:r>
      <w:r w:rsidR="007B12ED" w:rsidRPr="00746F54">
        <w:rPr>
          <w:rFonts w:ascii="Arial" w:hAnsi="Arial" w:cs="Arial"/>
        </w:rPr>
        <w:t xml:space="preserve">Registered </w:t>
      </w:r>
      <w:r w:rsidRPr="00746F54">
        <w:rPr>
          <w:rFonts w:ascii="Arial" w:hAnsi="Arial" w:cs="Arial"/>
        </w:rPr>
        <w:t>TSRs are established with the market through the Master</w:t>
      </w:r>
      <w:r w:rsidR="007B12ED" w:rsidRPr="00746F54">
        <w:rPr>
          <w:rFonts w:ascii="Arial" w:hAnsi="Arial" w:cs="Arial"/>
        </w:rPr>
        <w:t xml:space="preserve"> </w:t>
      </w:r>
      <w:r w:rsidRPr="00746F54">
        <w:rPr>
          <w:rFonts w:ascii="Arial" w:hAnsi="Arial" w:cs="Arial"/>
        </w:rPr>
        <w:t xml:space="preserve">file process, </w:t>
      </w:r>
      <w:r w:rsidR="007B12ED" w:rsidRPr="00746F54">
        <w:rPr>
          <w:rFonts w:ascii="Arial" w:hAnsi="Arial" w:cs="Arial"/>
        </w:rPr>
        <w:t xml:space="preserve">and transient TSRs are developed in SIBR for a specified trading day, </w:t>
      </w:r>
      <w:r w:rsidRPr="00746F54">
        <w:rPr>
          <w:rFonts w:ascii="Arial" w:hAnsi="Arial" w:cs="Arial"/>
        </w:rPr>
        <w:t>as described in</w:t>
      </w:r>
      <w:r w:rsidR="007B12ED" w:rsidRPr="00746F54">
        <w:rPr>
          <w:rFonts w:ascii="Arial" w:hAnsi="Arial" w:cs="Arial"/>
        </w:rPr>
        <w:t xml:space="preserve"> section 3.1 of</w:t>
      </w:r>
      <w:r w:rsidRPr="00746F54">
        <w:rPr>
          <w:rFonts w:ascii="Arial" w:hAnsi="Arial" w:cs="Arial"/>
        </w:rPr>
        <w:t xml:space="preserve"> this BPM.  </w:t>
      </w:r>
      <w:r w:rsidR="007B12ED" w:rsidRPr="00746F54">
        <w:rPr>
          <w:rFonts w:ascii="Arial" w:hAnsi="Arial" w:cs="Arial"/>
        </w:rPr>
        <w:t>Only Type 1 and Type 3 TSRs are eligible for participation in the day-ahead Resource Sufficiency Evaluation; TSR types are further described in section 3.1.2 of this BPM.</w:t>
      </w:r>
    </w:p>
    <w:p w14:paraId="6710E6E4" w14:textId="77777777" w:rsidR="007679BE" w:rsidRPr="00746F54" w:rsidRDefault="007679BE" w:rsidP="007679BE">
      <w:pPr>
        <w:pStyle w:val="Heading3"/>
        <w:rPr>
          <w:rFonts w:ascii="Arial" w:hAnsi="Arial" w:cs="Arial"/>
        </w:rPr>
      </w:pPr>
      <w:bookmarkStart w:id="121" w:name="_Toc211337906"/>
      <w:r w:rsidRPr="00746F54">
        <w:rPr>
          <w:rFonts w:ascii="Arial" w:hAnsi="Arial" w:cs="Arial"/>
        </w:rPr>
        <w:t>Transmission Capacity Made Available by Transmission Customers</w:t>
      </w:r>
      <w:bookmarkEnd w:id="121"/>
    </w:p>
    <w:p w14:paraId="0E769FB5" w14:textId="77777777" w:rsidR="007679BE" w:rsidRPr="00746F54" w:rsidRDefault="007679BE" w:rsidP="007679BE">
      <w:pPr>
        <w:pStyle w:val="ParaText"/>
        <w:rPr>
          <w:rFonts w:ascii="Arial" w:hAnsi="Arial" w:cs="Arial"/>
        </w:rPr>
      </w:pPr>
      <w:r w:rsidRPr="00746F54">
        <w:rPr>
          <w:rFonts w:ascii="Arial" w:hAnsi="Arial" w:cs="Arial"/>
        </w:rPr>
        <w:t xml:space="preserve">Beyond transmission capacity reserved at EDAM interties that is made available </w:t>
      </w:r>
      <w:proofErr w:type="gramStart"/>
      <w:r w:rsidRPr="00746F54">
        <w:rPr>
          <w:rFonts w:ascii="Arial" w:hAnsi="Arial" w:cs="Arial"/>
        </w:rPr>
        <w:t>as a result of</w:t>
      </w:r>
      <w:proofErr w:type="gramEnd"/>
      <w:r w:rsidRPr="00746F54">
        <w:rPr>
          <w:rFonts w:ascii="Arial" w:hAnsi="Arial" w:cs="Arial"/>
        </w:rPr>
        <w:t xml:space="preserve"> delivery of contracted supply to meet the resource sufficiency evaluation as described above, transmission capacity is made available based on the transmission reserved by transmission customers on the EDAM Transmission Provider system to support efficiency energy transfers between EDAM balancing areas.  Transmission customers holding firm or conditional firm transmission OATT transmission rights, whether point-to-point or network integration </w:t>
      </w:r>
      <w:r w:rsidRPr="00746F54">
        <w:rPr>
          <w:rFonts w:ascii="Arial" w:hAnsi="Arial" w:cs="Arial"/>
        </w:rPr>
        <w:lastRenderedPageBreak/>
        <w:t>transmission service rights, have three pathways associated with these transmission rights and how the transmission is utilized to support efficient energy transfers between EDAM balancing areas as described in section 33.18.2.2 of the Tariff:</w:t>
      </w:r>
    </w:p>
    <w:p w14:paraId="77D9A54A" w14:textId="77777777" w:rsidR="007679BE" w:rsidRPr="00746F54" w:rsidRDefault="007679BE" w:rsidP="007679BE">
      <w:pPr>
        <w:pStyle w:val="ParaText"/>
        <w:numPr>
          <w:ilvl w:val="0"/>
          <w:numId w:val="90"/>
        </w:numPr>
        <w:rPr>
          <w:rFonts w:ascii="Arial" w:hAnsi="Arial" w:cs="Arial"/>
        </w:rPr>
      </w:pPr>
      <w:r w:rsidRPr="00746F54">
        <w:rPr>
          <w:rFonts w:ascii="Arial" w:hAnsi="Arial" w:cs="Arial"/>
        </w:rPr>
        <w:t>Exercise of the firm OATT transmission rights through a self-schedule.</w:t>
      </w:r>
    </w:p>
    <w:p w14:paraId="73A6ED1C" w14:textId="77777777" w:rsidR="007679BE" w:rsidRPr="00746F54" w:rsidRDefault="007679BE" w:rsidP="007679BE">
      <w:pPr>
        <w:pStyle w:val="ParaText"/>
        <w:numPr>
          <w:ilvl w:val="0"/>
          <w:numId w:val="90"/>
        </w:numPr>
        <w:rPr>
          <w:rFonts w:ascii="Arial" w:hAnsi="Arial" w:cs="Arial"/>
        </w:rPr>
      </w:pPr>
      <w:r w:rsidRPr="00746F54">
        <w:rPr>
          <w:rFonts w:ascii="Arial" w:hAnsi="Arial" w:cs="Arial"/>
        </w:rPr>
        <w:t>Release of transmission rights ahead of the Day-Ahead Market.</w:t>
      </w:r>
    </w:p>
    <w:p w14:paraId="65E3344B" w14:textId="77777777" w:rsidR="007679BE" w:rsidRPr="00746F54" w:rsidRDefault="007679BE" w:rsidP="007679BE">
      <w:pPr>
        <w:pStyle w:val="ParaText"/>
        <w:numPr>
          <w:ilvl w:val="0"/>
          <w:numId w:val="90"/>
        </w:numPr>
        <w:rPr>
          <w:rFonts w:ascii="Arial" w:hAnsi="Arial" w:cs="Arial"/>
        </w:rPr>
      </w:pPr>
      <w:r w:rsidRPr="00746F54">
        <w:rPr>
          <w:rFonts w:ascii="Arial" w:hAnsi="Arial" w:cs="Arial"/>
        </w:rPr>
        <w:t xml:space="preserve">Availability of unscheduled firm OATT transmission rights to support market transfers.  </w:t>
      </w:r>
    </w:p>
    <w:p w14:paraId="585A1B74" w14:textId="77777777" w:rsidR="007679BE" w:rsidRPr="00746F54" w:rsidRDefault="007679BE" w:rsidP="007679BE">
      <w:pPr>
        <w:pStyle w:val="ParaText"/>
        <w:rPr>
          <w:rFonts w:ascii="Arial" w:hAnsi="Arial" w:cs="Arial"/>
        </w:rPr>
      </w:pPr>
      <w:r w:rsidRPr="00746F54">
        <w:rPr>
          <w:rFonts w:ascii="Arial" w:hAnsi="Arial" w:cs="Arial"/>
        </w:rPr>
        <w:t xml:space="preserve">As a starting point, and as described in section 6.2 of this BPM, transmission customers of an EDAM Transmission Service Provider can elect to exercise and utilize their specific reserved firm or conditional firm point to point or network integration transmission service rights reserved at EDAM interties under the EDAM Transmission Service Provider OATT and registered with the market.  These transmission rights are exercised through the submission of a self-schedule in the market associated with a Contract Reference Number representing the registered transmission rights.  The market will seek to prioritize these self-schedules in the market clearing process and </w:t>
      </w:r>
      <w:proofErr w:type="gramStart"/>
      <w:r w:rsidRPr="00746F54">
        <w:rPr>
          <w:rFonts w:ascii="Arial" w:hAnsi="Arial" w:cs="Arial"/>
        </w:rPr>
        <w:t>supporting</w:t>
      </w:r>
      <w:proofErr w:type="gramEnd"/>
      <w:r w:rsidRPr="00746F54">
        <w:rPr>
          <w:rFonts w:ascii="Arial" w:hAnsi="Arial" w:cs="Arial"/>
        </w:rPr>
        <w:t xml:space="preserve"> energy transfers between EDAM balancing areas.</w:t>
      </w:r>
    </w:p>
    <w:p w14:paraId="13DC14CC" w14:textId="193A5C00" w:rsidR="007679BE" w:rsidRPr="00746F54" w:rsidRDefault="007679BE" w:rsidP="007679BE">
      <w:pPr>
        <w:pStyle w:val="ParaText"/>
        <w:rPr>
          <w:rFonts w:ascii="Arial" w:hAnsi="Arial" w:cs="Arial"/>
        </w:rPr>
      </w:pPr>
      <w:r w:rsidRPr="00746F54">
        <w:rPr>
          <w:rFonts w:ascii="Arial" w:hAnsi="Arial" w:cs="Arial"/>
        </w:rPr>
        <w:t xml:space="preserve">Scheduling Coordinators for a transmission customer of an EDAM Transmission Service Provider can proactively release their firm or conditional firm point to point or network integration transmission service rights held at EDAM interties by 9:00am the morning of the Day-Ahead and this transmission capacity will be made available to support efficient EDAM transfers, as described in section 33.18.2.2.2 of the Tariff.  The Scheduling Coordinator representing the transmission customer associated with the registered transmission rights can determine </w:t>
      </w:r>
      <w:proofErr w:type="gramStart"/>
      <w:r w:rsidRPr="00746F54">
        <w:rPr>
          <w:rFonts w:ascii="Arial" w:hAnsi="Arial" w:cs="Arial"/>
        </w:rPr>
        <w:t>on a daily basis</w:t>
      </w:r>
      <w:proofErr w:type="gramEnd"/>
      <w:r w:rsidRPr="00746F54">
        <w:rPr>
          <w:rFonts w:ascii="Arial" w:hAnsi="Arial" w:cs="Arial"/>
        </w:rPr>
        <w:t xml:space="preserve"> whether to release the transmission rights for the day, and if released whether to release part or </w:t>
      </w:r>
      <w:proofErr w:type="gramStart"/>
      <w:r w:rsidRPr="00746F54">
        <w:rPr>
          <w:rFonts w:ascii="Arial" w:hAnsi="Arial" w:cs="Arial"/>
        </w:rPr>
        <w:t>all of</w:t>
      </w:r>
      <w:proofErr w:type="gramEnd"/>
      <w:r w:rsidRPr="00746F54">
        <w:rPr>
          <w:rFonts w:ascii="Arial" w:hAnsi="Arial" w:cs="Arial"/>
        </w:rPr>
        <w:t xml:space="preserve"> the transmission rights to support EDAM transfers.  Importantly, transmission rights at an EDAM intertie that are released to the market cannot be reclaimed or scheduled for the duration of the trade date for which they have been released.  The EDAM Entity Scheduling Coordinator will ensure that </w:t>
      </w:r>
      <w:r w:rsidR="00C95132" w:rsidRPr="00746F54">
        <w:rPr>
          <w:rFonts w:ascii="Arial" w:hAnsi="Arial" w:cs="Arial"/>
        </w:rPr>
        <w:t>the</w:t>
      </w:r>
      <w:r w:rsidRPr="00746F54">
        <w:rPr>
          <w:rFonts w:ascii="Arial" w:hAnsi="Arial" w:cs="Arial"/>
        </w:rPr>
        <w:t xml:space="preserve"> release of transmission rights is communicated to the market associated with a Transfer System resource.  The market</w:t>
      </w:r>
      <w:r w:rsidRPr="00746F54" w:rsidDel="004F3EE2">
        <w:rPr>
          <w:rFonts w:ascii="Arial" w:hAnsi="Arial" w:cs="Arial"/>
        </w:rPr>
        <w:t xml:space="preserve"> </w:t>
      </w:r>
      <w:r w:rsidRPr="00746F54">
        <w:rPr>
          <w:rFonts w:ascii="Arial" w:hAnsi="Arial" w:cs="Arial"/>
        </w:rPr>
        <w:t xml:space="preserve">will directly </w:t>
      </w:r>
      <w:proofErr w:type="gramStart"/>
      <w:r w:rsidRPr="00746F54">
        <w:rPr>
          <w:rFonts w:ascii="Arial" w:hAnsi="Arial" w:cs="Arial"/>
        </w:rPr>
        <w:t>allocated</w:t>
      </w:r>
      <w:proofErr w:type="gramEnd"/>
      <w:r w:rsidRPr="00746F54">
        <w:rPr>
          <w:rFonts w:ascii="Arial" w:hAnsi="Arial" w:cs="Arial"/>
        </w:rPr>
        <w:t xml:space="preserve"> and settle transfer revenue that may accrue at the specific EDAM intertie with the Scheduling Coordinator for the transmission customer which has released their transmission rights as described above.  </w:t>
      </w:r>
    </w:p>
    <w:p w14:paraId="7D169FE9" w14:textId="77777777" w:rsidR="007679BE" w:rsidRPr="00746F54" w:rsidRDefault="007679BE" w:rsidP="00636D40">
      <w:pPr>
        <w:pStyle w:val="ParaText"/>
        <w:rPr>
          <w:rFonts w:ascii="Arial" w:hAnsi="Arial" w:cs="Arial"/>
          <w:sz w:val="24"/>
          <w:szCs w:val="24"/>
        </w:rPr>
      </w:pPr>
      <w:r w:rsidRPr="00746F54">
        <w:rPr>
          <w:rFonts w:ascii="Arial" w:hAnsi="Arial" w:cs="Arial"/>
        </w:rPr>
        <w:t xml:space="preserve">TSR Capacity will be available in a SIBR UI, (tentative named “TSR Capacity Notification.”  The report shall provide </w:t>
      </w:r>
      <w:r w:rsidRPr="00241862">
        <w:rPr>
          <w:rFonts w:ascii="Arial" w:hAnsi="Arial" w:cs="Arial"/>
          <w:sz w:val="20"/>
          <w:szCs w:val="20"/>
        </w:rPr>
        <w:t xml:space="preserve">the CRN Capacity for that Trading Hour, Transfer Location, CRN Reference, and SC, the Released Capacity for that Trading Hour, Transfer Location, CRN Reference, and SC, the exercised right calculated as the sum of CRN Self-Schedule Quantities specified in the CRN Self-Schedule Bid Components in all Inter-Tie Resource Bids for TSR Type 1 for that Trading Hour, Transfer </w:t>
      </w:r>
      <w:r w:rsidRPr="00241862">
        <w:rPr>
          <w:rFonts w:ascii="Arial" w:hAnsi="Arial" w:cs="Arial"/>
          <w:sz w:val="20"/>
          <w:szCs w:val="20"/>
        </w:rPr>
        <w:lastRenderedPageBreak/>
        <w:t>Location, CRN Reference, and SC; and the reserved right calculated as that CRN Capacity minus that Released Capacity minus that exercised right.</w:t>
      </w:r>
    </w:p>
    <w:p w14:paraId="6801AA9F" w14:textId="77777777" w:rsidR="007679BE" w:rsidRPr="00746F54" w:rsidRDefault="007679BE" w:rsidP="007679BE">
      <w:pPr>
        <w:rPr>
          <w:rFonts w:ascii="Arial" w:hAnsi="Arial" w:cs="Arial"/>
        </w:rPr>
      </w:pPr>
      <w:r w:rsidRPr="00746F54">
        <w:rPr>
          <w:rFonts w:ascii="Arial" w:hAnsi="Arial" w:cs="Arial"/>
        </w:rPr>
        <w:t>Example Report:</w:t>
      </w:r>
    </w:p>
    <w:tbl>
      <w:tblPr>
        <w:tblW w:w="10784" w:type="dxa"/>
        <w:tblInd w:w="5" w:type="dxa"/>
        <w:tblCellMar>
          <w:left w:w="0" w:type="dxa"/>
          <w:right w:w="0" w:type="dxa"/>
        </w:tblCellMar>
        <w:tblLook w:val="04A0" w:firstRow="1" w:lastRow="0" w:firstColumn="1" w:lastColumn="0" w:noHBand="0" w:noVBand="1"/>
      </w:tblPr>
      <w:tblGrid>
        <w:gridCol w:w="522"/>
        <w:gridCol w:w="3187"/>
        <w:gridCol w:w="1500"/>
        <w:gridCol w:w="1208"/>
        <w:gridCol w:w="1072"/>
        <w:gridCol w:w="1370"/>
        <w:gridCol w:w="1182"/>
        <w:gridCol w:w="1158"/>
      </w:tblGrid>
      <w:tr w:rsidR="007679BE" w:rsidRPr="00E02022" w14:paraId="78DD8B1E" w14:textId="77777777" w:rsidTr="00D826BF">
        <w:trPr>
          <w:trHeight w:val="1201"/>
        </w:trPr>
        <w:tc>
          <w:tcPr>
            <w:tcW w:w="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FB9511" w14:textId="77777777" w:rsidR="007679BE" w:rsidRPr="00E02022" w:rsidRDefault="007679BE" w:rsidP="00D62922">
            <w:pPr>
              <w:jc w:val="center"/>
              <w:rPr>
                <w:rFonts w:ascii="Arial" w:hAnsi="Arial" w:cs="Arial"/>
              </w:rPr>
            </w:pPr>
            <w:r w:rsidRPr="00E02022">
              <w:rPr>
                <w:rFonts w:ascii="Arial" w:hAnsi="Arial" w:cs="Arial"/>
              </w:rPr>
              <w:t>HE</w:t>
            </w:r>
          </w:p>
        </w:tc>
        <w:tc>
          <w:tcPr>
            <w:tcW w:w="2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89277F5" w14:textId="77777777" w:rsidR="007679BE" w:rsidRPr="00E02022" w:rsidRDefault="007679BE" w:rsidP="00D62922">
            <w:pPr>
              <w:jc w:val="center"/>
              <w:rPr>
                <w:rFonts w:ascii="Arial" w:hAnsi="Arial" w:cs="Arial"/>
              </w:rPr>
            </w:pPr>
            <w:r w:rsidRPr="00E02022">
              <w:rPr>
                <w:rFonts w:ascii="Arial" w:hAnsi="Arial" w:cs="Arial"/>
              </w:rPr>
              <w:t>Transfer Location</w:t>
            </w:r>
          </w:p>
        </w:tc>
        <w:tc>
          <w:tcPr>
            <w:tcW w:w="128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610B01F" w14:textId="77777777" w:rsidR="007679BE" w:rsidRPr="00E02022" w:rsidRDefault="007679BE" w:rsidP="00D62922">
            <w:pPr>
              <w:jc w:val="center"/>
              <w:rPr>
                <w:rFonts w:ascii="Arial" w:hAnsi="Arial" w:cs="Arial"/>
              </w:rPr>
            </w:pPr>
            <w:r w:rsidRPr="00E02022">
              <w:rPr>
                <w:rFonts w:ascii="Arial" w:hAnsi="Arial" w:cs="Arial"/>
              </w:rPr>
              <w:t>CRN</w:t>
            </w:r>
          </w:p>
        </w:tc>
        <w:tc>
          <w:tcPr>
            <w:tcW w:w="12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9415EFE" w14:textId="77777777" w:rsidR="007679BE" w:rsidRPr="00E02022" w:rsidRDefault="007679BE" w:rsidP="00D62922">
            <w:pPr>
              <w:jc w:val="center"/>
              <w:rPr>
                <w:rFonts w:ascii="Arial" w:hAnsi="Arial" w:cs="Arial"/>
              </w:rPr>
            </w:pPr>
            <w:r w:rsidRPr="00E02022">
              <w:rPr>
                <w:rFonts w:ascii="Arial" w:hAnsi="Arial" w:cs="Arial"/>
              </w:rPr>
              <w:t>SC</w:t>
            </w:r>
          </w:p>
        </w:tc>
        <w:tc>
          <w:tcPr>
            <w:tcW w:w="12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E605EB" w14:textId="77777777" w:rsidR="007679BE" w:rsidRPr="00E02022" w:rsidRDefault="007679BE" w:rsidP="00D62922">
            <w:pPr>
              <w:jc w:val="center"/>
              <w:rPr>
                <w:rFonts w:ascii="Arial" w:hAnsi="Arial" w:cs="Arial"/>
              </w:rPr>
            </w:pPr>
            <w:r w:rsidRPr="00E02022">
              <w:rPr>
                <w:rFonts w:ascii="Arial" w:hAnsi="Arial" w:cs="Arial"/>
              </w:rPr>
              <w:t>CRN Capacity</w:t>
            </w:r>
          </w:p>
        </w:tc>
        <w:tc>
          <w:tcPr>
            <w:tcW w:w="13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7E0BCC" w14:textId="77777777" w:rsidR="007679BE" w:rsidRPr="00E02022" w:rsidRDefault="007679BE" w:rsidP="00D62922">
            <w:pPr>
              <w:jc w:val="center"/>
              <w:rPr>
                <w:rFonts w:ascii="Arial" w:hAnsi="Arial" w:cs="Arial"/>
              </w:rPr>
            </w:pPr>
            <w:r w:rsidRPr="00E02022">
              <w:rPr>
                <w:rFonts w:ascii="Arial" w:hAnsi="Arial" w:cs="Arial"/>
              </w:rPr>
              <w:t>Released Capacity</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75BA9" w14:textId="77777777" w:rsidR="007679BE" w:rsidRPr="00E02022" w:rsidRDefault="007679BE" w:rsidP="00D62922">
            <w:pPr>
              <w:jc w:val="center"/>
              <w:rPr>
                <w:rFonts w:ascii="Arial" w:hAnsi="Arial" w:cs="Arial"/>
              </w:rPr>
            </w:pPr>
            <w:r w:rsidRPr="00E02022">
              <w:rPr>
                <w:rFonts w:ascii="Arial" w:hAnsi="Arial" w:cs="Arial"/>
              </w:rPr>
              <w:t>Exercised Right</w:t>
            </w:r>
          </w:p>
        </w:tc>
        <w:tc>
          <w:tcPr>
            <w:tcW w:w="112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1A45854" w14:textId="77777777" w:rsidR="007679BE" w:rsidRPr="00E02022" w:rsidRDefault="007679BE" w:rsidP="00D62922">
            <w:pPr>
              <w:jc w:val="center"/>
              <w:rPr>
                <w:rFonts w:ascii="Arial" w:hAnsi="Arial" w:cs="Arial"/>
              </w:rPr>
            </w:pPr>
            <w:r w:rsidRPr="00E02022">
              <w:rPr>
                <w:rFonts w:ascii="Arial" w:hAnsi="Arial" w:cs="Arial"/>
              </w:rPr>
              <w:t>Reserved Right</w:t>
            </w:r>
          </w:p>
        </w:tc>
      </w:tr>
      <w:tr w:rsidR="007679BE" w:rsidRPr="00E02022" w14:paraId="04ED1B5A" w14:textId="77777777" w:rsidTr="00D826BF">
        <w:trPr>
          <w:trHeight w:val="1201"/>
        </w:trPr>
        <w:tc>
          <w:tcPr>
            <w:tcW w:w="7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2F00B9" w14:textId="77777777" w:rsidR="007679BE" w:rsidRPr="00E02022" w:rsidRDefault="007679BE" w:rsidP="00D62922">
            <w:pPr>
              <w:jc w:val="center"/>
              <w:rPr>
                <w:rFonts w:ascii="Arial" w:hAnsi="Arial" w:cs="Arial"/>
                <w:b/>
              </w:rPr>
            </w:pPr>
            <w:r w:rsidRPr="00E02022">
              <w:rPr>
                <w:rFonts w:ascii="Arial" w:hAnsi="Arial" w:cs="Arial"/>
                <w:b/>
              </w:rPr>
              <w:t>1</w:t>
            </w:r>
          </w:p>
        </w:tc>
        <w:tc>
          <w:tcPr>
            <w:tcW w:w="27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3B98BE" w14:textId="77777777" w:rsidR="007679BE" w:rsidRPr="00E02022" w:rsidRDefault="007679BE" w:rsidP="00D62922">
            <w:pPr>
              <w:jc w:val="center"/>
              <w:rPr>
                <w:rFonts w:ascii="Arial" w:hAnsi="Arial" w:cs="Arial"/>
                <w:b/>
              </w:rPr>
            </w:pPr>
            <w:r w:rsidRPr="00E02022">
              <w:rPr>
                <w:rFonts w:ascii="Arial" w:hAnsi="Arial" w:cs="Arial"/>
                <w:b/>
              </w:rPr>
              <w:t>BAA1_TRANS_NAME_BAA2</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5F7B33" w14:textId="77777777" w:rsidR="007679BE" w:rsidRPr="00E02022" w:rsidRDefault="007679BE" w:rsidP="00D62922">
            <w:pPr>
              <w:jc w:val="center"/>
              <w:rPr>
                <w:rFonts w:ascii="Arial" w:hAnsi="Arial" w:cs="Arial"/>
                <w:b/>
              </w:rPr>
            </w:pPr>
            <w:r w:rsidRPr="00E02022">
              <w:rPr>
                <w:rFonts w:ascii="Arial" w:hAnsi="Arial" w:cs="Arial"/>
                <w:b/>
              </w:rPr>
              <w:t>BAA1_TSR1</w:t>
            </w:r>
          </w:p>
        </w:tc>
        <w:tc>
          <w:tcPr>
            <w:tcW w:w="12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064CFD" w14:textId="77777777" w:rsidR="007679BE" w:rsidRPr="00E02022" w:rsidRDefault="007679BE" w:rsidP="00D62922">
            <w:pPr>
              <w:jc w:val="center"/>
              <w:rPr>
                <w:rFonts w:ascii="Arial" w:hAnsi="Arial" w:cs="Arial"/>
              </w:rPr>
            </w:pPr>
            <w:r w:rsidRPr="00E02022">
              <w:rPr>
                <w:rFonts w:ascii="Arial" w:hAnsi="Arial" w:cs="Arial"/>
              </w:rPr>
              <w:t>BAA1</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C44A52" w14:textId="77777777" w:rsidR="007679BE" w:rsidRPr="00E02022" w:rsidRDefault="007679BE" w:rsidP="00D62922">
            <w:pPr>
              <w:jc w:val="center"/>
              <w:rPr>
                <w:rFonts w:ascii="Arial" w:hAnsi="Arial" w:cs="Arial"/>
              </w:rPr>
            </w:pPr>
            <w:r w:rsidRPr="00E02022">
              <w:rPr>
                <w:rFonts w:ascii="Arial" w:hAnsi="Arial" w:cs="Arial"/>
              </w:rPr>
              <w:t>200</w:t>
            </w:r>
          </w:p>
        </w:tc>
        <w:tc>
          <w:tcPr>
            <w:tcW w:w="13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63FF69" w14:textId="77777777" w:rsidR="007679BE" w:rsidRPr="00E02022" w:rsidRDefault="007679BE" w:rsidP="00D62922">
            <w:pPr>
              <w:jc w:val="center"/>
              <w:rPr>
                <w:rFonts w:ascii="Arial" w:hAnsi="Arial" w:cs="Arial"/>
              </w:rPr>
            </w:pPr>
            <w:r w:rsidRPr="00E02022">
              <w:rPr>
                <w:rFonts w:ascii="Arial" w:hAnsi="Arial" w:cs="Arial"/>
              </w:rPr>
              <w:t>50</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A44E5" w14:textId="77777777" w:rsidR="007679BE" w:rsidRPr="00E02022" w:rsidRDefault="007679BE" w:rsidP="00D62922">
            <w:pPr>
              <w:jc w:val="center"/>
              <w:rPr>
                <w:rFonts w:ascii="Arial" w:hAnsi="Arial" w:cs="Arial"/>
              </w:rPr>
            </w:pPr>
            <w:r w:rsidRPr="00E02022">
              <w:rPr>
                <w:rFonts w:ascii="Arial" w:hAnsi="Arial" w:cs="Arial"/>
              </w:rPr>
              <w:t>150</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41F8A8" w14:textId="77777777" w:rsidR="007679BE" w:rsidRPr="00E02022" w:rsidRDefault="007679BE" w:rsidP="00D62922">
            <w:pPr>
              <w:jc w:val="center"/>
              <w:rPr>
                <w:rFonts w:ascii="Arial" w:hAnsi="Arial" w:cs="Arial"/>
              </w:rPr>
            </w:pPr>
            <w:r w:rsidRPr="00E02022">
              <w:rPr>
                <w:rFonts w:ascii="Arial" w:hAnsi="Arial" w:cs="Arial"/>
              </w:rPr>
              <w:t>0</w:t>
            </w:r>
          </w:p>
        </w:tc>
      </w:tr>
      <w:tr w:rsidR="007679BE" w:rsidRPr="00E02022" w14:paraId="6CB82516" w14:textId="77777777" w:rsidTr="00D826BF">
        <w:trPr>
          <w:trHeight w:val="1201"/>
        </w:trPr>
        <w:tc>
          <w:tcPr>
            <w:tcW w:w="7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3F08C4" w14:textId="77777777" w:rsidR="007679BE" w:rsidRPr="00E02022" w:rsidRDefault="007679BE" w:rsidP="00D62922">
            <w:pPr>
              <w:jc w:val="center"/>
              <w:rPr>
                <w:rFonts w:ascii="Arial" w:hAnsi="Arial" w:cs="Arial"/>
              </w:rPr>
            </w:pPr>
            <w:r w:rsidRPr="00E02022">
              <w:rPr>
                <w:rFonts w:ascii="Arial" w:hAnsi="Arial" w:cs="Arial"/>
              </w:rPr>
              <w:t>1</w:t>
            </w:r>
          </w:p>
        </w:tc>
        <w:tc>
          <w:tcPr>
            <w:tcW w:w="27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3FFC1A" w14:textId="77777777" w:rsidR="007679BE" w:rsidRPr="00E02022" w:rsidRDefault="007679BE" w:rsidP="00D62922">
            <w:pPr>
              <w:jc w:val="center"/>
              <w:rPr>
                <w:rFonts w:ascii="Arial" w:hAnsi="Arial" w:cs="Arial"/>
              </w:rPr>
            </w:pPr>
            <w:r w:rsidRPr="00E02022">
              <w:rPr>
                <w:rFonts w:ascii="Arial" w:hAnsi="Arial" w:cs="Arial"/>
                <w:b/>
              </w:rPr>
              <w:t>BAA1_TRANS_NAME_BAA2</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B7546C" w14:textId="77777777" w:rsidR="007679BE" w:rsidRPr="00E02022" w:rsidRDefault="007679BE" w:rsidP="00D62922">
            <w:pPr>
              <w:jc w:val="center"/>
              <w:rPr>
                <w:rFonts w:ascii="Arial" w:hAnsi="Arial" w:cs="Arial"/>
              </w:rPr>
            </w:pPr>
            <w:r w:rsidRPr="00E02022">
              <w:rPr>
                <w:rFonts w:ascii="Arial" w:hAnsi="Arial" w:cs="Arial"/>
                <w:b/>
              </w:rPr>
              <w:t>BAA1_TSR2</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EB16B" w14:textId="77777777" w:rsidR="007679BE" w:rsidRPr="00E02022" w:rsidRDefault="007679BE" w:rsidP="00D62922">
            <w:pPr>
              <w:jc w:val="center"/>
              <w:rPr>
                <w:rFonts w:ascii="Arial" w:hAnsi="Arial" w:cs="Arial"/>
              </w:rPr>
            </w:pPr>
            <w:r w:rsidRPr="00E02022">
              <w:rPr>
                <w:rFonts w:ascii="Arial" w:hAnsi="Arial" w:cs="Arial"/>
              </w:rPr>
              <w:t>BAA1</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904D9" w14:textId="77777777" w:rsidR="007679BE" w:rsidRPr="00E02022" w:rsidRDefault="007679BE" w:rsidP="00D62922">
            <w:pPr>
              <w:jc w:val="center"/>
              <w:rPr>
                <w:rFonts w:ascii="Arial" w:hAnsi="Arial" w:cs="Arial"/>
              </w:rPr>
            </w:pPr>
            <w:r w:rsidRPr="00E02022">
              <w:rPr>
                <w:rFonts w:ascii="Arial" w:hAnsi="Arial" w:cs="Arial"/>
              </w:rPr>
              <w:t>300</w:t>
            </w:r>
          </w:p>
        </w:tc>
        <w:tc>
          <w:tcPr>
            <w:tcW w:w="13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1BF4C3" w14:textId="77777777" w:rsidR="007679BE" w:rsidRPr="00E02022" w:rsidRDefault="007679BE" w:rsidP="00D62922">
            <w:pPr>
              <w:jc w:val="center"/>
              <w:rPr>
                <w:rFonts w:ascii="Arial" w:hAnsi="Arial" w:cs="Arial"/>
              </w:rPr>
            </w:pPr>
            <w:r w:rsidRPr="00E02022">
              <w:rPr>
                <w:rFonts w:ascii="Arial" w:hAnsi="Arial" w:cs="Arial"/>
              </w:rPr>
              <w:t>100</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9C750" w14:textId="77777777" w:rsidR="007679BE" w:rsidRPr="00E02022" w:rsidRDefault="007679BE" w:rsidP="00D62922">
            <w:pPr>
              <w:jc w:val="center"/>
              <w:rPr>
                <w:rFonts w:ascii="Arial" w:hAnsi="Arial" w:cs="Arial"/>
              </w:rPr>
            </w:pPr>
            <w:r w:rsidRPr="00E02022">
              <w:rPr>
                <w:rFonts w:ascii="Arial" w:hAnsi="Arial" w:cs="Arial"/>
              </w:rPr>
              <w:t>200</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CB0263F" w14:textId="77777777" w:rsidR="007679BE" w:rsidRPr="00E02022" w:rsidRDefault="007679BE" w:rsidP="00D62922">
            <w:pPr>
              <w:jc w:val="center"/>
              <w:rPr>
                <w:rFonts w:ascii="Arial" w:hAnsi="Arial" w:cs="Arial"/>
              </w:rPr>
            </w:pPr>
            <w:r w:rsidRPr="00E02022">
              <w:rPr>
                <w:rFonts w:ascii="Arial" w:hAnsi="Arial" w:cs="Arial"/>
              </w:rPr>
              <w:t>0</w:t>
            </w:r>
          </w:p>
        </w:tc>
      </w:tr>
      <w:tr w:rsidR="007679BE" w:rsidRPr="00E02022" w14:paraId="75BE4B9A" w14:textId="77777777" w:rsidTr="00D826BF">
        <w:trPr>
          <w:trHeight w:val="1201"/>
        </w:trPr>
        <w:tc>
          <w:tcPr>
            <w:tcW w:w="7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73B3E7" w14:textId="77777777" w:rsidR="007679BE" w:rsidRPr="00E02022" w:rsidRDefault="007679BE" w:rsidP="00D62922">
            <w:pPr>
              <w:jc w:val="center"/>
              <w:rPr>
                <w:rFonts w:ascii="Arial" w:hAnsi="Arial" w:cs="Arial"/>
              </w:rPr>
            </w:pPr>
            <w:r w:rsidRPr="00E02022">
              <w:rPr>
                <w:rFonts w:ascii="Arial" w:hAnsi="Arial" w:cs="Arial"/>
              </w:rPr>
              <w:t>2</w:t>
            </w:r>
          </w:p>
        </w:tc>
        <w:tc>
          <w:tcPr>
            <w:tcW w:w="27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C988F3" w14:textId="77777777" w:rsidR="007679BE" w:rsidRPr="00E02022" w:rsidRDefault="007679BE" w:rsidP="00D62922">
            <w:pPr>
              <w:jc w:val="center"/>
              <w:rPr>
                <w:rFonts w:ascii="Arial" w:hAnsi="Arial" w:cs="Arial"/>
              </w:rPr>
            </w:pPr>
            <w:r w:rsidRPr="00E02022">
              <w:rPr>
                <w:rFonts w:ascii="Arial" w:hAnsi="Arial" w:cs="Arial"/>
                <w:b/>
              </w:rPr>
              <w:t>BAA1_TRANS_NAME_BAA2</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9798A4" w14:textId="77777777" w:rsidR="007679BE" w:rsidRPr="00E02022" w:rsidRDefault="007679BE" w:rsidP="00D62922">
            <w:pPr>
              <w:jc w:val="center"/>
              <w:rPr>
                <w:rFonts w:ascii="Arial" w:hAnsi="Arial" w:cs="Arial"/>
              </w:rPr>
            </w:pPr>
            <w:r w:rsidRPr="00E02022">
              <w:rPr>
                <w:rFonts w:ascii="Arial" w:hAnsi="Arial" w:cs="Arial"/>
                <w:b/>
              </w:rPr>
              <w:t>BAA1_TSR1</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76E33" w14:textId="77777777" w:rsidR="007679BE" w:rsidRPr="00E02022" w:rsidRDefault="007679BE" w:rsidP="00D62922">
            <w:pPr>
              <w:jc w:val="center"/>
              <w:rPr>
                <w:rFonts w:ascii="Arial" w:hAnsi="Arial" w:cs="Arial"/>
              </w:rPr>
            </w:pPr>
            <w:r w:rsidRPr="00E02022">
              <w:rPr>
                <w:rFonts w:ascii="Arial" w:hAnsi="Arial" w:cs="Arial"/>
              </w:rPr>
              <w:t>BAA1</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DB4ADB" w14:textId="77777777" w:rsidR="007679BE" w:rsidRPr="00E02022" w:rsidRDefault="007679BE" w:rsidP="00D62922">
            <w:pPr>
              <w:jc w:val="center"/>
              <w:rPr>
                <w:rFonts w:ascii="Arial" w:hAnsi="Arial" w:cs="Arial"/>
              </w:rPr>
            </w:pPr>
            <w:r w:rsidRPr="00E02022">
              <w:rPr>
                <w:rFonts w:ascii="Arial" w:hAnsi="Arial" w:cs="Arial"/>
              </w:rPr>
              <w:t>200</w:t>
            </w:r>
          </w:p>
        </w:tc>
        <w:tc>
          <w:tcPr>
            <w:tcW w:w="13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D3AA76" w14:textId="77777777" w:rsidR="007679BE" w:rsidRPr="00E02022" w:rsidRDefault="007679BE" w:rsidP="00D62922">
            <w:pPr>
              <w:jc w:val="center"/>
              <w:rPr>
                <w:rFonts w:ascii="Arial" w:hAnsi="Arial" w:cs="Arial"/>
              </w:rPr>
            </w:pPr>
            <w:r w:rsidRPr="00E02022">
              <w:rPr>
                <w:rFonts w:ascii="Arial" w:hAnsi="Arial" w:cs="Arial"/>
              </w:rPr>
              <w:t>2</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F4589" w14:textId="77777777" w:rsidR="007679BE" w:rsidRPr="00E02022" w:rsidRDefault="007679BE" w:rsidP="00D62922">
            <w:pPr>
              <w:jc w:val="center"/>
              <w:rPr>
                <w:rFonts w:ascii="Arial" w:hAnsi="Arial" w:cs="Arial"/>
              </w:rPr>
            </w:pPr>
            <w:r w:rsidRPr="00E02022">
              <w:rPr>
                <w:rFonts w:ascii="Arial" w:hAnsi="Arial" w:cs="Arial"/>
              </w:rPr>
              <w:t>150</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5B7C59" w14:textId="77777777" w:rsidR="007679BE" w:rsidRPr="00E02022" w:rsidRDefault="007679BE" w:rsidP="00D62922">
            <w:pPr>
              <w:jc w:val="center"/>
              <w:rPr>
                <w:rFonts w:ascii="Arial" w:hAnsi="Arial" w:cs="Arial"/>
              </w:rPr>
            </w:pPr>
            <w:r w:rsidRPr="00E02022">
              <w:rPr>
                <w:rFonts w:ascii="Arial" w:hAnsi="Arial" w:cs="Arial"/>
              </w:rPr>
              <w:t>48</w:t>
            </w:r>
          </w:p>
        </w:tc>
      </w:tr>
      <w:tr w:rsidR="007679BE" w:rsidRPr="00E02022" w14:paraId="7D7E6017" w14:textId="77777777" w:rsidTr="00D826BF">
        <w:trPr>
          <w:trHeight w:val="2405"/>
        </w:trPr>
        <w:tc>
          <w:tcPr>
            <w:tcW w:w="7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675B04" w14:textId="77777777" w:rsidR="007679BE" w:rsidRPr="00E02022" w:rsidRDefault="007679BE" w:rsidP="00D62922">
            <w:pPr>
              <w:jc w:val="center"/>
              <w:rPr>
                <w:rFonts w:ascii="Arial" w:hAnsi="Arial" w:cs="Arial"/>
              </w:rPr>
            </w:pPr>
            <w:r w:rsidRPr="00E02022">
              <w:rPr>
                <w:rFonts w:ascii="Arial" w:hAnsi="Arial" w:cs="Arial"/>
              </w:rPr>
              <w:t>2</w:t>
            </w:r>
          </w:p>
        </w:tc>
        <w:tc>
          <w:tcPr>
            <w:tcW w:w="27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1B7CE6" w14:textId="77777777" w:rsidR="007679BE" w:rsidRPr="00E02022" w:rsidRDefault="007679BE" w:rsidP="00D62922">
            <w:pPr>
              <w:jc w:val="center"/>
              <w:rPr>
                <w:rFonts w:ascii="Arial" w:hAnsi="Arial" w:cs="Arial"/>
              </w:rPr>
            </w:pPr>
            <w:r w:rsidRPr="00E02022">
              <w:rPr>
                <w:rFonts w:ascii="Arial" w:hAnsi="Arial" w:cs="Arial"/>
                <w:b/>
              </w:rPr>
              <w:t>BAA1_TRANS_NAME_BAA2</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93523C" w14:textId="77777777" w:rsidR="007679BE" w:rsidRPr="00E02022" w:rsidRDefault="007679BE" w:rsidP="00D62922">
            <w:pPr>
              <w:jc w:val="center"/>
              <w:rPr>
                <w:rFonts w:ascii="Arial" w:hAnsi="Arial" w:cs="Arial"/>
              </w:rPr>
            </w:pPr>
            <w:r w:rsidRPr="00E02022">
              <w:rPr>
                <w:rFonts w:ascii="Arial" w:hAnsi="Arial" w:cs="Arial"/>
                <w:b/>
              </w:rPr>
              <w:t>BAA1_TSR2</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670A2" w14:textId="77777777" w:rsidR="007679BE" w:rsidRPr="00E02022" w:rsidRDefault="007679BE" w:rsidP="00D62922">
            <w:pPr>
              <w:jc w:val="center"/>
              <w:rPr>
                <w:rFonts w:ascii="Arial" w:hAnsi="Arial" w:cs="Arial"/>
              </w:rPr>
            </w:pPr>
            <w:r w:rsidRPr="00E02022">
              <w:rPr>
                <w:rFonts w:ascii="Arial" w:hAnsi="Arial" w:cs="Arial"/>
              </w:rPr>
              <w:t>BAA1</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BD077" w14:textId="77777777" w:rsidR="007679BE" w:rsidRPr="00E02022" w:rsidRDefault="007679BE" w:rsidP="00D62922">
            <w:pPr>
              <w:jc w:val="center"/>
              <w:rPr>
                <w:rFonts w:ascii="Arial" w:hAnsi="Arial" w:cs="Arial"/>
              </w:rPr>
            </w:pPr>
            <w:r w:rsidRPr="00E02022">
              <w:rPr>
                <w:rFonts w:ascii="Arial" w:hAnsi="Arial" w:cs="Arial"/>
              </w:rPr>
              <w:t>300</w:t>
            </w:r>
          </w:p>
        </w:tc>
        <w:tc>
          <w:tcPr>
            <w:tcW w:w="13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D9485D" w14:textId="77777777" w:rsidR="007679BE" w:rsidRPr="00E02022" w:rsidRDefault="007679BE" w:rsidP="00D62922">
            <w:pPr>
              <w:jc w:val="center"/>
              <w:rPr>
                <w:rFonts w:ascii="Arial" w:hAnsi="Arial" w:cs="Arial"/>
              </w:rPr>
            </w:pPr>
            <w:r w:rsidRPr="00E02022">
              <w:rPr>
                <w:rFonts w:ascii="Arial" w:hAnsi="Arial" w:cs="Arial"/>
              </w:rPr>
              <w:t>100</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9D72D" w14:textId="77777777" w:rsidR="007679BE" w:rsidRPr="00E02022" w:rsidRDefault="007679BE" w:rsidP="00D62922">
            <w:pPr>
              <w:jc w:val="center"/>
              <w:rPr>
                <w:rFonts w:ascii="Arial" w:hAnsi="Arial" w:cs="Arial"/>
              </w:rPr>
            </w:pPr>
            <w:r w:rsidRPr="00E02022">
              <w:rPr>
                <w:rFonts w:ascii="Arial" w:hAnsi="Arial" w:cs="Arial"/>
              </w:rPr>
              <w:t>100</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80A673" w14:textId="77777777" w:rsidR="007679BE" w:rsidRPr="00E02022" w:rsidRDefault="007679BE" w:rsidP="00D62922">
            <w:pPr>
              <w:jc w:val="center"/>
              <w:rPr>
                <w:rFonts w:ascii="Arial" w:hAnsi="Arial" w:cs="Arial"/>
              </w:rPr>
            </w:pPr>
            <w:r w:rsidRPr="00E02022">
              <w:rPr>
                <w:rFonts w:ascii="Arial" w:hAnsi="Arial" w:cs="Arial"/>
              </w:rPr>
              <w:t>100</w:t>
            </w:r>
          </w:p>
        </w:tc>
      </w:tr>
    </w:tbl>
    <w:p w14:paraId="27A4E1E3" w14:textId="77777777" w:rsidR="007679BE" w:rsidRPr="00E02022" w:rsidRDefault="007679BE" w:rsidP="007679BE">
      <w:pPr>
        <w:pStyle w:val="ParaText"/>
        <w:rPr>
          <w:rFonts w:ascii="Arial" w:hAnsi="Arial" w:cs="Arial"/>
        </w:rPr>
      </w:pPr>
    </w:p>
    <w:p w14:paraId="7B7A97DB" w14:textId="77777777" w:rsidR="007679BE" w:rsidRPr="00746F54" w:rsidRDefault="007679BE" w:rsidP="007679BE">
      <w:pPr>
        <w:pStyle w:val="ParaText"/>
        <w:rPr>
          <w:rFonts w:ascii="Arial" w:hAnsi="Arial" w:cs="Arial"/>
        </w:rPr>
      </w:pPr>
      <w:r w:rsidRPr="00E02022">
        <w:rPr>
          <w:rFonts w:ascii="Arial" w:hAnsi="Arial" w:cs="Arial"/>
        </w:rPr>
        <w:t>Transmission capacity held and reserved by transmission customers at interties between EDAM balancing areas which has not been made available to the market under the methods described above to support EDAM transfers or is otherwise not exercised such that it remains unscheduled by</w:t>
      </w:r>
      <w:r w:rsidRPr="00746F54">
        <w:rPr>
          <w:rFonts w:ascii="Arial" w:hAnsi="Arial" w:cs="Arial"/>
        </w:rPr>
        <w:t xml:space="preserve"> the time of the Day-Ahead Market run at 10:00am, is made available to support efficient EDAM transfers.  The transmission customer retains the ability to exercise these firm or conditional firm point-to-point and network integration transmission service right intra-day consistent with the terms of the EDAM Entity, after the Day-Ahead Market run, consistent with section 33.18.2.2.3 of the Tariff and as described in section 6.2.1 of this BPM.  </w:t>
      </w:r>
    </w:p>
    <w:p w14:paraId="292096F5" w14:textId="77777777" w:rsidR="007679BE" w:rsidRPr="00746F54" w:rsidRDefault="007679BE" w:rsidP="007679BE">
      <w:pPr>
        <w:pStyle w:val="Heading3"/>
        <w:rPr>
          <w:rFonts w:ascii="Arial" w:hAnsi="Arial" w:cs="Arial"/>
        </w:rPr>
      </w:pPr>
      <w:bookmarkStart w:id="122" w:name="_Toc211337907"/>
      <w:r w:rsidRPr="00746F54">
        <w:rPr>
          <w:rFonts w:ascii="Arial" w:hAnsi="Arial" w:cs="Arial"/>
        </w:rPr>
        <w:lastRenderedPageBreak/>
        <w:t>Unsold Transmission Capacity Made Available by the Transmission Provider</w:t>
      </w:r>
      <w:bookmarkEnd w:id="122"/>
      <w:r w:rsidRPr="00746F54">
        <w:rPr>
          <w:rFonts w:ascii="Arial" w:hAnsi="Arial" w:cs="Arial"/>
        </w:rPr>
        <w:t xml:space="preserve"> </w:t>
      </w:r>
    </w:p>
    <w:p w14:paraId="57553019" w14:textId="6182F03E" w:rsidR="007679BE" w:rsidRPr="00746F54" w:rsidRDefault="007679BE" w:rsidP="007679BE">
      <w:pPr>
        <w:pStyle w:val="ParaText"/>
        <w:rPr>
          <w:rFonts w:ascii="Arial" w:hAnsi="Arial" w:cs="Arial"/>
        </w:rPr>
      </w:pPr>
      <w:r w:rsidRPr="00746F54">
        <w:rPr>
          <w:rFonts w:ascii="Arial" w:hAnsi="Arial" w:cs="Arial"/>
        </w:rPr>
        <w:t>The EDAM entity scheduling coordinator, working in coordination with the EDAM transmission service provider, will determine the amount of unsold firm transmission capacity at interties between EDAM balancing areas available for supporting efficient energy transfers.  The EDAM entity scheduling coordinator will communicate to the market the unsold firm transmission capacity at the interties prior to 10:00</w:t>
      </w:r>
      <w:r w:rsidR="002938C0" w:rsidRPr="00746F54">
        <w:rPr>
          <w:rFonts w:ascii="Arial" w:hAnsi="Arial" w:cs="Arial"/>
        </w:rPr>
        <w:t xml:space="preserve"> </w:t>
      </w:r>
      <w:r w:rsidRPr="00746F54">
        <w:rPr>
          <w:rFonts w:ascii="Arial" w:hAnsi="Arial" w:cs="Arial"/>
        </w:rPr>
        <w:t>am on the morning of the Day-Ahead Market</w:t>
      </w:r>
      <w:r w:rsidR="002938C0" w:rsidRPr="00746F54">
        <w:rPr>
          <w:rFonts w:ascii="Arial" w:hAnsi="Arial" w:cs="Arial"/>
        </w:rPr>
        <w:t xml:space="preserve"> via a TSR or Released Capacity bid, as described in Section 3.1 and 3.1.5.3 of this BPM</w:t>
      </w:r>
      <w:r w:rsidRPr="00746F54">
        <w:rPr>
          <w:rFonts w:ascii="Arial" w:hAnsi="Arial" w:cs="Arial"/>
        </w:rPr>
        <w:t>.  The EDAM entity scheduling coordinator may account for reserve sharing group obligations, margins within its available transfer capability methodology</w:t>
      </w:r>
      <w:r w:rsidR="002938C0" w:rsidRPr="00746F54">
        <w:rPr>
          <w:rFonts w:ascii="Arial" w:hAnsi="Arial" w:cs="Arial"/>
        </w:rPr>
        <w:t>,</w:t>
      </w:r>
      <w:r w:rsidRPr="00746F54">
        <w:rPr>
          <w:rFonts w:ascii="Arial" w:hAnsi="Arial" w:cs="Arial"/>
        </w:rPr>
        <w:t xml:space="preserve"> or other unique circumstances or arrangements as provided for under its tariff. This unsold transmission capacity will be made available to support EDAM transfers.   </w:t>
      </w:r>
    </w:p>
    <w:p w14:paraId="11ECE871" w14:textId="77777777" w:rsidR="00121501" w:rsidRPr="00746F54" w:rsidRDefault="00121501" w:rsidP="00121501">
      <w:pPr>
        <w:pStyle w:val="Heading1"/>
        <w:rPr>
          <w:rFonts w:ascii="Arial" w:hAnsi="Arial" w:cs="Arial"/>
        </w:rPr>
      </w:pPr>
      <w:bookmarkStart w:id="123" w:name="_Toc211337908"/>
      <w:bookmarkStart w:id="124" w:name="_Toc228963703"/>
      <w:r w:rsidRPr="00746F54">
        <w:rPr>
          <w:rFonts w:ascii="Arial" w:hAnsi="Arial" w:cs="Arial"/>
        </w:rPr>
        <w:t>Transmission Service Requirements for EDAM Resources</w:t>
      </w:r>
      <w:bookmarkEnd w:id="123"/>
      <w:bookmarkEnd w:id="124"/>
      <w:r w:rsidRPr="00746F54">
        <w:rPr>
          <w:rFonts w:ascii="Arial" w:hAnsi="Arial" w:cs="Arial"/>
        </w:rPr>
        <w:t xml:space="preserve"> </w:t>
      </w:r>
    </w:p>
    <w:p w14:paraId="6D2CAF5C" w14:textId="76F4BE91" w:rsidR="00121501" w:rsidRPr="00746F54" w:rsidRDefault="00121501" w:rsidP="00121501">
      <w:pPr>
        <w:pStyle w:val="ParaText"/>
        <w:rPr>
          <w:rFonts w:ascii="Arial" w:hAnsi="Arial" w:cs="Arial"/>
        </w:rPr>
      </w:pPr>
      <w:r w:rsidRPr="00746F54">
        <w:rPr>
          <w:rFonts w:ascii="Arial" w:hAnsi="Arial" w:cs="Arial"/>
        </w:rPr>
        <w:t xml:space="preserve">As described in section 33.23 of the tariff, EDAM resource scheduling coordinators must obtain transmission service from the host EDAM transmission service provider to meet the real-time dispatch obligations of the </w:t>
      </w:r>
      <w:proofErr w:type="gramStart"/>
      <w:r w:rsidRPr="00746F54">
        <w:rPr>
          <w:rFonts w:ascii="Arial" w:hAnsi="Arial" w:cs="Arial"/>
        </w:rPr>
        <w:t>resource</w:t>
      </w:r>
      <w:proofErr w:type="gramEnd"/>
      <w:r w:rsidRPr="00746F54">
        <w:rPr>
          <w:rFonts w:ascii="Arial" w:hAnsi="Arial" w:cs="Arial"/>
        </w:rPr>
        <w:t xml:space="preserve"> or the scheduling coordinator may be subject to additional transmission charges under the EDAM transmission service provider’s tariff.  This transmission obligation may be satisfied through any of the following:</w:t>
      </w:r>
    </w:p>
    <w:p w14:paraId="66504A6A" w14:textId="5A4E7A04" w:rsidR="00121501" w:rsidRPr="00746F54" w:rsidRDefault="00121501" w:rsidP="00121501">
      <w:pPr>
        <w:pStyle w:val="ParaText"/>
        <w:numPr>
          <w:ilvl w:val="0"/>
          <w:numId w:val="121"/>
        </w:numPr>
        <w:rPr>
          <w:rFonts w:ascii="Arial" w:hAnsi="Arial" w:cs="Arial"/>
        </w:rPr>
      </w:pPr>
      <w:r w:rsidRPr="00746F54">
        <w:rPr>
          <w:rFonts w:ascii="Arial" w:hAnsi="Arial" w:cs="Arial"/>
        </w:rPr>
        <w:t xml:space="preserve">The EDAM resource is a designated network resource under the terms of an EDAM transmission service provider </w:t>
      </w:r>
      <w:r w:rsidR="00C95132" w:rsidRPr="00746F54">
        <w:rPr>
          <w:rFonts w:ascii="Arial" w:hAnsi="Arial" w:cs="Arial"/>
        </w:rPr>
        <w:t>tariff.</w:t>
      </w:r>
    </w:p>
    <w:p w14:paraId="3143B739" w14:textId="77777777" w:rsidR="00121501" w:rsidRPr="00746F54" w:rsidRDefault="00121501" w:rsidP="00121501">
      <w:pPr>
        <w:pStyle w:val="ParaText"/>
        <w:numPr>
          <w:ilvl w:val="0"/>
          <w:numId w:val="121"/>
        </w:numPr>
        <w:rPr>
          <w:rFonts w:ascii="Arial" w:hAnsi="Arial" w:cs="Arial"/>
        </w:rPr>
      </w:pPr>
      <w:r w:rsidRPr="00746F54">
        <w:rPr>
          <w:rFonts w:ascii="Arial" w:hAnsi="Arial" w:cs="Arial"/>
        </w:rPr>
        <w:t xml:space="preserve">The EDAM resource reserves firm </w:t>
      </w:r>
      <w:proofErr w:type="gramStart"/>
      <w:r w:rsidRPr="00746F54">
        <w:rPr>
          <w:rFonts w:ascii="Arial" w:hAnsi="Arial" w:cs="Arial"/>
        </w:rPr>
        <w:t>point</w:t>
      </w:r>
      <w:proofErr w:type="gramEnd"/>
      <w:r w:rsidRPr="00746F54">
        <w:rPr>
          <w:rFonts w:ascii="Arial" w:hAnsi="Arial" w:cs="Arial"/>
        </w:rPr>
        <w:t xml:space="preserve"> to point transmission service of any duration under the terms of the EDAM transmission service provider tariff; or</w:t>
      </w:r>
    </w:p>
    <w:p w14:paraId="0DD8E312" w14:textId="77777777" w:rsidR="00121501" w:rsidRPr="00746F54" w:rsidRDefault="00121501" w:rsidP="00121501">
      <w:pPr>
        <w:pStyle w:val="ParaText"/>
        <w:numPr>
          <w:ilvl w:val="0"/>
          <w:numId w:val="121"/>
        </w:numPr>
        <w:rPr>
          <w:rFonts w:ascii="Arial" w:hAnsi="Arial" w:cs="Arial"/>
        </w:rPr>
      </w:pPr>
      <w:r w:rsidRPr="00746F54">
        <w:rPr>
          <w:rFonts w:ascii="Arial" w:hAnsi="Arial" w:cs="Arial"/>
        </w:rPr>
        <w:t xml:space="preserve">The EDAM resource is associated with an EDAM legacy contract or an EDAM transmission ownership right.  </w:t>
      </w:r>
    </w:p>
    <w:p w14:paraId="548BE974" w14:textId="263FC800" w:rsidR="00121501" w:rsidRPr="00746F54" w:rsidRDefault="00121501" w:rsidP="00121501">
      <w:pPr>
        <w:pStyle w:val="ParaText"/>
        <w:rPr>
          <w:rFonts w:ascii="Arial" w:hAnsi="Arial" w:cs="Arial"/>
        </w:rPr>
      </w:pPr>
      <w:r w:rsidRPr="00746F54">
        <w:rPr>
          <w:rFonts w:ascii="Arial" w:hAnsi="Arial" w:cs="Arial"/>
        </w:rPr>
        <w:t xml:space="preserve">To the extent the EDAM resources do not have sufficient transmission service reserved on the host transmission provide system as described above to support its real-time dispatch obligations, the EDAM transmission service provider will assess a transmission charge based on the lowest duration of firm transmission service offered under the host transmission service provider tariff, which is typically hourly firm or daily firm transmission service.  </w:t>
      </w:r>
    </w:p>
    <w:p w14:paraId="1687DEA9" w14:textId="77E85D45" w:rsidR="00121501" w:rsidRPr="00746F54" w:rsidRDefault="00121501" w:rsidP="00121501">
      <w:pPr>
        <w:pStyle w:val="ParaText"/>
        <w:rPr>
          <w:rFonts w:ascii="Arial" w:hAnsi="Arial" w:cs="Arial"/>
        </w:rPr>
      </w:pPr>
      <w:r w:rsidRPr="00746F54">
        <w:rPr>
          <w:rFonts w:ascii="Arial" w:hAnsi="Arial" w:cs="Arial"/>
        </w:rPr>
        <w:t xml:space="preserve">To the extent the lowest duration firm transmission service offered by the EDAM transmission service provider is daily firm point-to-point transmission service, the transmission service charge </w:t>
      </w:r>
      <w:r w:rsidRPr="00746F54">
        <w:rPr>
          <w:rFonts w:ascii="Arial" w:hAnsi="Arial" w:cs="Arial"/>
        </w:rPr>
        <w:lastRenderedPageBreak/>
        <w:t xml:space="preserve">is evaluated based on the single highest hour of real-time dispatch of the resource across the day based on the amount </w:t>
      </w:r>
      <w:proofErr w:type="gramStart"/>
      <w:r w:rsidRPr="00746F54">
        <w:rPr>
          <w:rFonts w:ascii="Arial" w:hAnsi="Arial" w:cs="Arial"/>
        </w:rPr>
        <w:t>in excess of</w:t>
      </w:r>
      <w:proofErr w:type="gramEnd"/>
      <w:r w:rsidRPr="00746F54">
        <w:rPr>
          <w:rFonts w:ascii="Arial" w:hAnsi="Arial" w:cs="Arial"/>
        </w:rPr>
        <w:t xml:space="preserve"> the reserved transmission service.  For example, if the highest hourly real-time dispatch for the day is 100 MW for the resource but it has only reserved 90 MW of transmission service, the EDAM transmission service provider will apply an additional transmission service charge for the 10 MW difference as described in the EDAM transmission provider tariff.  </w:t>
      </w:r>
    </w:p>
    <w:p w14:paraId="25E52CAF" w14:textId="77777777" w:rsidR="00F957C1" w:rsidRDefault="00121501" w:rsidP="00121501">
      <w:pPr>
        <w:pStyle w:val="ParaText"/>
        <w:rPr>
          <w:rFonts w:ascii="Arial" w:hAnsi="Arial" w:cs="Arial"/>
        </w:rPr>
      </w:pPr>
      <w:r w:rsidRPr="00746F54">
        <w:rPr>
          <w:rFonts w:ascii="Arial" w:hAnsi="Arial" w:cs="Arial"/>
        </w:rPr>
        <w:t>Similarly, if the lowest duration firm transmission service offered by the EDAM transmission service provider is hourly firm point-to-point transmission service, the transmission service charge is evaluated based on the real-time dispatch of the resource for each hour of the day for any excess above the reserved transmission service.  For example, if for hour ending 10</w:t>
      </w:r>
      <w:r w:rsidR="009A0C32" w:rsidRPr="00746F54">
        <w:rPr>
          <w:rFonts w:ascii="Arial" w:hAnsi="Arial" w:cs="Arial"/>
        </w:rPr>
        <w:t xml:space="preserve"> </w:t>
      </w:r>
      <w:r w:rsidRPr="00746F54">
        <w:rPr>
          <w:rFonts w:ascii="Arial" w:hAnsi="Arial" w:cs="Arial"/>
        </w:rPr>
        <w:t xml:space="preserve">am the resource was dispatched at 100 </w:t>
      </w:r>
      <w:proofErr w:type="gramStart"/>
      <w:r w:rsidRPr="00746F54">
        <w:rPr>
          <w:rFonts w:ascii="Arial" w:hAnsi="Arial" w:cs="Arial"/>
        </w:rPr>
        <w:t>MW</w:t>
      </w:r>
      <w:proofErr w:type="gramEnd"/>
      <w:r w:rsidRPr="00746F54">
        <w:rPr>
          <w:rFonts w:ascii="Arial" w:hAnsi="Arial" w:cs="Arial"/>
        </w:rPr>
        <w:t xml:space="preserve"> but it only reserved 90 MW of transmission service, the EDAM transmission service provider will apply an additional transmission service charge for the 10 MW difference for that </w:t>
      </w:r>
      <w:proofErr w:type="gramStart"/>
      <w:r w:rsidRPr="00746F54">
        <w:rPr>
          <w:rFonts w:ascii="Arial" w:hAnsi="Arial" w:cs="Arial"/>
        </w:rPr>
        <w:t>particular hour</w:t>
      </w:r>
      <w:proofErr w:type="gramEnd"/>
      <w:r w:rsidRPr="00746F54">
        <w:rPr>
          <w:rFonts w:ascii="Arial" w:hAnsi="Arial" w:cs="Arial"/>
        </w:rPr>
        <w:t xml:space="preserve"> real time dispatch consistent with the EDAM transmission service provider tariff</w:t>
      </w:r>
      <w:r w:rsidR="00F957C1">
        <w:rPr>
          <w:rFonts w:ascii="Arial" w:hAnsi="Arial" w:cs="Arial"/>
        </w:rPr>
        <w:t>.</w:t>
      </w:r>
    </w:p>
    <w:p w14:paraId="36FECC61" w14:textId="25B16788" w:rsidR="00121501" w:rsidRPr="00746F54" w:rsidRDefault="00AA6E13" w:rsidP="00121501">
      <w:pPr>
        <w:pStyle w:val="ParaText"/>
        <w:rPr>
          <w:rFonts w:ascii="Arial" w:hAnsi="Arial" w:cs="Arial"/>
        </w:rPr>
      </w:pPr>
      <w:r>
        <w:rPr>
          <w:rFonts w:ascii="Arial" w:hAnsi="Arial" w:cs="Arial"/>
        </w:rPr>
        <w:t xml:space="preserve">Section 33.23 of the tariff </w:t>
      </w:r>
      <w:r w:rsidR="009537AD">
        <w:rPr>
          <w:rFonts w:ascii="Arial" w:hAnsi="Arial" w:cs="Arial"/>
        </w:rPr>
        <w:t xml:space="preserve">enables the EDAM transmission service provider to develop rules applicable to their transmission customers to provide an adjustment of its rate or settlement reconciliation to reflect a more appropriate charge other than a firm transmission service charge, where appropriate.  For example, based on the realities of the </w:t>
      </w:r>
      <w:proofErr w:type="gramStart"/>
      <w:r w:rsidR="009537AD">
        <w:rPr>
          <w:rFonts w:ascii="Arial" w:hAnsi="Arial" w:cs="Arial"/>
        </w:rPr>
        <w:t>particular transmission</w:t>
      </w:r>
      <w:proofErr w:type="gramEnd"/>
      <w:r w:rsidR="009537AD">
        <w:rPr>
          <w:rFonts w:ascii="Arial" w:hAnsi="Arial" w:cs="Arial"/>
        </w:rPr>
        <w:t xml:space="preserve"> system and associated rate structure, the EDAM transmission service provider could consider the application of the hourly non-firm transmission rate, or a different rate, recognizing that firm transmission service may not be readily available on the system.    </w:t>
      </w:r>
      <w:r w:rsidR="00121501" w:rsidRPr="00746F54">
        <w:rPr>
          <w:rFonts w:ascii="Arial" w:hAnsi="Arial" w:cs="Arial"/>
        </w:rPr>
        <w:t xml:space="preserve">The ISO will provide day-ahead market commitments and real-time market dispatch results, at an EDAM resource level, to EDAM entities through CMRI.  The EDAM entity will utilize these reports to help inform and compare the real-time dispatch levels of EDAM resources to the reserved transmission for the assessment of any potential additional transmission service charges or penalties.  The specific transmission service charges and/or penalties are assessed by and determined in accordance with the EDAM transmission service provider tariff. </w:t>
      </w:r>
    </w:p>
    <w:p w14:paraId="0E19F0D8" w14:textId="77777777" w:rsidR="009F25B5" w:rsidRPr="00746F54" w:rsidRDefault="009F25B5" w:rsidP="009F25B5">
      <w:pPr>
        <w:pStyle w:val="Heading1"/>
        <w:rPr>
          <w:rFonts w:ascii="Arial" w:hAnsi="Arial" w:cs="Arial"/>
        </w:rPr>
      </w:pPr>
      <w:bookmarkStart w:id="125" w:name="_Toc228963704"/>
      <w:r w:rsidRPr="00746F54">
        <w:rPr>
          <w:rFonts w:ascii="Arial" w:hAnsi="Arial" w:cs="Arial"/>
        </w:rPr>
        <w:t>Transmission Planning</w:t>
      </w:r>
      <w:bookmarkEnd w:id="125"/>
    </w:p>
    <w:p w14:paraId="143943F8" w14:textId="77777777" w:rsidR="009F25B5" w:rsidRPr="00746F54" w:rsidRDefault="009F25B5" w:rsidP="009F25B5">
      <w:pPr>
        <w:pStyle w:val="ParaText"/>
        <w:rPr>
          <w:rFonts w:ascii="Arial" w:hAnsi="Arial" w:cs="Arial"/>
          <w:u w:val="single"/>
        </w:rPr>
      </w:pPr>
      <w:r w:rsidRPr="00746F54">
        <w:rPr>
          <w:rFonts w:ascii="Arial" w:hAnsi="Arial" w:cs="Arial"/>
          <w:u w:val="single"/>
        </w:rPr>
        <w:t>Reference tariff section 33.24</w:t>
      </w:r>
    </w:p>
    <w:p w14:paraId="630C9242" w14:textId="19B61817" w:rsidR="009F25B5" w:rsidRPr="00746F54" w:rsidRDefault="009F25B5" w:rsidP="009F25B5">
      <w:pPr>
        <w:pStyle w:val="ParaText"/>
        <w:rPr>
          <w:rFonts w:ascii="Arial" w:hAnsi="Arial" w:cs="Arial"/>
        </w:rPr>
      </w:pPr>
      <w:r w:rsidRPr="00746F54">
        <w:rPr>
          <w:rFonts w:ascii="Arial" w:hAnsi="Arial" w:cs="Arial"/>
        </w:rPr>
        <w:t xml:space="preserve">Participation in the EDAM does not extend the administration of a transmission planning function or service to participating balancing authority areas.  EDAM entities, and other transmission service providers within and EDAM balancing authority area, as is the case with WEIM entities, continue to retain and administer their transmission planning function and processes consistent with the terms of their tariffs.  </w:t>
      </w:r>
    </w:p>
    <w:p w14:paraId="5E86C2C7" w14:textId="77777777" w:rsidR="00E148B7" w:rsidRPr="00746F54" w:rsidRDefault="00E148B7" w:rsidP="00E148B7">
      <w:pPr>
        <w:pStyle w:val="Heading1"/>
        <w:rPr>
          <w:rFonts w:ascii="Arial" w:hAnsi="Arial" w:cs="Arial"/>
        </w:rPr>
      </w:pPr>
      <w:bookmarkStart w:id="126" w:name="_Toc211337910"/>
      <w:bookmarkStart w:id="127" w:name="_Toc228963705"/>
      <w:r w:rsidRPr="00746F54">
        <w:rPr>
          <w:rFonts w:ascii="Arial" w:hAnsi="Arial" w:cs="Arial"/>
        </w:rPr>
        <w:lastRenderedPageBreak/>
        <w:t>Generator Interconnection</w:t>
      </w:r>
      <w:bookmarkEnd w:id="126"/>
      <w:bookmarkEnd w:id="127"/>
      <w:r w:rsidRPr="00746F54">
        <w:rPr>
          <w:rFonts w:ascii="Arial" w:hAnsi="Arial" w:cs="Arial"/>
        </w:rPr>
        <w:t xml:space="preserve"> </w:t>
      </w:r>
    </w:p>
    <w:p w14:paraId="72EB3377" w14:textId="7805780E" w:rsidR="00E148B7" w:rsidRPr="00746F54" w:rsidRDefault="00E148B7" w:rsidP="00E148B7">
      <w:pPr>
        <w:pStyle w:val="ParaText"/>
        <w:rPr>
          <w:rFonts w:ascii="Arial" w:hAnsi="Arial" w:cs="Arial"/>
        </w:rPr>
      </w:pPr>
      <w:r w:rsidRPr="00746F54">
        <w:rPr>
          <w:rFonts w:ascii="Arial" w:hAnsi="Arial" w:cs="Arial"/>
          <w:u w:val="single"/>
        </w:rPr>
        <w:t>Reference tariff section 33.25</w:t>
      </w:r>
    </w:p>
    <w:p w14:paraId="30C93851" w14:textId="4C17B0DC" w:rsidR="00243759" w:rsidRPr="00746F54" w:rsidRDefault="00E148B7" w:rsidP="00E148B7">
      <w:pPr>
        <w:pStyle w:val="ParaText"/>
        <w:rPr>
          <w:rFonts w:ascii="Arial" w:hAnsi="Arial" w:cs="Arial"/>
        </w:rPr>
      </w:pPr>
      <w:r w:rsidRPr="00746F54">
        <w:rPr>
          <w:rFonts w:ascii="Arial" w:hAnsi="Arial" w:cs="Arial"/>
        </w:rPr>
        <w:t xml:space="preserve">The Extended Day-Ahead Market does not include generator interconnection-related functions or </w:t>
      </w:r>
      <w:proofErr w:type="gramStart"/>
      <w:r w:rsidRPr="00746F54">
        <w:rPr>
          <w:rFonts w:ascii="Arial" w:hAnsi="Arial" w:cs="Arial"/>
        </w:rPr>
        <w:t>services</w:t>
      </w:r>
      <w:proofErr w:type="gramEnd"/>
      <w:r w:rsidRPr="00746F54">
        <w:rPr>
          <w:rFonts w:ascii="Arial" w:hAnsi="Arial" w:cs="Arial"/>
        </w:rPr>
        <w:t xml:space="preserve"> and Section 25 does not apply to EDAM market participants.  Generator interconnection processes and procedures continue to be administered under the EDAM entity and transmission service provider tariffs.  </w:t>
      </w:r>
    </w:p>
    <w:p w14:paraId="689403E2" w14:textId="527205F7" w:rsidR="00903C3A" w:rsidRPr="00746F54" w:rsidRDefault="00903C3A" w:rsidP="00903C3A">
      <w:pPr>
        <w:pStyle w:val="Heading1"/>
        <w:rPr>
          <w:rFonts w:ascii="Arial" w:hAnsi="Arial" w:cs="Arial"/>
        </w:rPr>
      </w:pPr>
      <w:bookmarkStart w:id="128" w:name="_Toc211337911"/>
      <w:bookmarkStart w:id="129" w:name="_Toc228963706"/>
      <w:r w:rsidRPr="00746F54">
        <w:rPr>
          <w:rFonts w:ascii="Arial" w:hAnsi="Arial" w:cs="Arial"/>
        </w:rPr>
        <w:t>Historical Transmission Revenue Recovery and EDAM Access Charge</w:t>
      </w:r>
      <w:bookmarkEnd w:id="128"/>
      <w:bookmarkEnd w:id="129"/>
    </w:p>
    <w:p w14:paraId="1165EF63" w14:textId="3379DAAE" w:rsidR="00903C3A" w:rsidRPr="00746F54" w:rsidRDefault="00903C3A" w:rsidP="00903C3A">
      <w:pPr>
        <w:pStyle w:val="ParaText"/>
        <w:rPr>
          <w:rFonts w:ascii="Arial" w:hAnsi="Arial" w:cs="Arial"/>
        </w:rPr>
      </w:pPr>
      <w:r w:rsidRPr="00746F54">
        <w:rPr>
          <w:rFonts w:ascii="Arial" w:hAnsi="Arial" w:cs="Arial"/>
        </w:rPr>
        <w:t xml:space="preserve">Access Charges for Day-Ahead Market transactions serving load within the CAISO BAA that </w:t>
      </w:r>
      <w:r w:rsidR="00C95132" w:rsidRPr="00746F54">
        <w:rPr>
          <w:rFonts w:ascii="Arial" w:hAnsi="Arial" w:cs="Arial"/>
        </w:rPr>
        <w:t>uses</w:t>
      </w:r>
      <w:r w:rsidRPr="00746F54">
        <w:rPr>
          <w:rFonts w:ascii="Arial" w:hAnsi="Arial" w:cs="Arial"/>
        </w:rPr>
        <w:t xml:space="preserve"> the CAISO-controlled grid are governed by Section 26 of the CAISO tariff. Transmission service charges for Day-Ahead Market transactions serving Load within an EDAM entity BAA are governed by the applicable EDAM transmission service provider tariff. Transmission service charges for Day-Ahead Market transactions supported by EDAM transfers are addressed in Section 33.26 of the CAISO tariff. Transmission service charges for Real-Time Market transactions are governed by Section 11, Section 26, or Section 29.26, as applicable.</w:t>
      </w:r>
    </w:p>
    <w:p w14:paraId="0E9D6D3A" w14:textId="7BDE890D" w:rsidR="00903C3A" w:rsidRPr="00746F54" w:rsidRDefault="00903C3A" w:rsidP="00903C3A">
      <w:pPr>
        <w:pStyle w:val="ParaText"/>
        <w:rPr>
          <w:rFonts w:ascii="Arial" w:hAnsi="Arial" w:cs="Arial"/>
        </w:rPr>
      </w:pPr>
      <w:r w:rsidRPr="00746F54">
        <w:rPr>
          <w:rFonts w:ascii="Arial" w:hAnsi="Arial" w:cs="Arial"/>
        </w:rPr>
        <w:t xml:space="preserve">Detailed examples of EDAM access charge year-to-year calculations are available in subsection 26.7 of this BPM. </w:t>
      </w:r>
    </w:p>
    <w:p w14:paraId="48740FC1" w14:textId="77777777" w:rsidR="00903C3A" w:rsidRPr="00746F54" w:rsidRDefault="00903C3A" w:rsidP="00903C3A">
      <w:pPr>
        <w:pStyle w:val="Heading2"/>
        <w:rPr>
          <w:rFonts w:ascii="Arial" w:hAnsi="Arial" w:cs="Arial"/>
        </w:rPr>
      </w:pPr>
      <w:bookmarkStart w:id="130" w:name="_Toc211337912"/>
      <w:bookmarkStart w:id="131" w:name="_Toc228963707"/>
      <w:r w:rsidRPr="00746F54">
        <w:rPr>
          <w:rFonts w:ascii="Arial" w:hAnsi="Arial" w:cs="Arial"/>
        </w:rPr>
        <w:t>EDAM Access Charges</w:t>
      </w:r>
      <w:bookmarkEnd w:id="130"/>
      <w:bookmarkEnd w:id="131"/>
    </w:p>
    <w:p w14:paraId="278D361B" w14:textId="41F15615" w:rsidR="00903C3A" w:rsidRPr="00746F54" w:rsidRDefault="00903C3A" w:rsidP="00903C3A">
      <w:pPr>
        <w:pStyle w:val="ParaText"/>
        <w:rPr>
          <w:rFonts w:ascii="Arial" w:hAnsi="Arial" w:cs="Arial"/>
        </w:rPr>
      </w:pPr>
      <w:r w:rsidRPr="00746F54">
        <w:rPr>
          <w:rFonts w:ascii="Arial" w:hAnsi="Arial" w:cs="Arial"/>
        </w:rPr>
        <w:t xml:space="preserve">The CAISO will determine an EDAM access charge for each </w:t>
      </w:r>
      <w:r w:rsidR="00C95132" w:rsidRPr="00746F54">
        <w:rPr>
          <w:rFonts w:ascii="Arial" w:hAnsi="Arial" w:cs="Arial"/>
        </w:rPr>
        <w:t>BAA in</w:t>
      </w:r>
      <w:r w:rsidRPr="00746F54">
        <w:rPr>
          <w:rFonts w:ascii="Arial" w:hAnsi="Arial" w:cs="Arial"/>
        </w:rPr>
        <w:t xml:space="preserve"> the EDAM area based on the aggregate inputs of each EDAM transmission service provider in that BAA. The CAISO will assess the EDAM access charges, allocate revenues collected, and true-up actual revenue recovery through calculation of the next year’s EDAM Access Charges. EDAM Entities will provide forecasts for their EDAM transmission service providers of the aggregate EDAM recoverable revenue from the three components described below, to be trued-up based on EDAM recoverable revenue each year.</w:t>
      </w:r>
    </w:p>
    <w:p w14:paraId="6F617F39" w14:textId="02DDE59C" w:rsidR="00903C3A" w:rsidRPr="00746F54" w:rsidRDefault="00903C3A" w:rsidP="00903C3A">
      <w:pPr>
        <w:pStyle w:val="ParaText"/>
        <w:rPr>
          <w:rFonts w:ascii="Arial" w:hAnsi="Arial" w:cs="Arial"/>
        </w:rPr>
      </w:pPr>
      <w:r w:rsidRPr="00746F54">
        <w:rPr>
          <w:rFonts w:ascii="Arial" w:hAnsi="Arial" w:cs="Arial"/>
        </w:rPr>
        <w:t xml:space="preserve">To assess the EDAM access charge consistent with Section 33.26.3, the CAISO will derive a rate in $/MWh specific to each EDAM entity BAA. The CAISO will calculate the rate by: </w:t>
      </w:r>
    </w:p>
    <w:p w14:paraId="0A5AB09C" w14:textId="6B6CE5A7" w:rsidR="00903C3A" w:rsidRPr="00746F54" w:rsidRDefault="00903C3A" w:rsidP="00903C3A">
      <w:pPr>
        <w:pStyle w:val="ParaText"/>
        <w:ind w:left="720"/>
        <w:rPr>
          <w:rFonts w:ascii="Arial" w:hAnsi="Arial" w:cs="Arial"/>
        </w:rPr>
      </w:pPr>
      <w:r w:rsidRPr="00746F54">
        <w:rPr>
          <w:rFonts w:ascii="Arial" w:hAnsi="Arial" w:cs="Arial"/>
        </w:rPr>
        <w:t xml:space="preserve">1) allocating each EDAM transmission service provider’s EDAM recoverable revenue to the EDAM </w:t>
      </w:r>
      <w:r w:rsidR="00C95132" w:rsidRPr="00746F54">
        <w:rPr>
          <w:rFonts w:ascii="Arial" w:hAnsi="Arial" w:cs="Arial"/>
        </w:rPr>
        <w:t>BAAs associated</w:t>
      </w:r>
      <w:r w:rsidRPr="00746F54">
        <w:rPr>
          <w:rFonts w:ascii="Arial" w:hAnsi="Arial" w:cs="Arial"/>
        </w:rPr>
        <w:t xml:space="preserve"> with the other EDAM transmission service providers, on behalf of such other EDAM transmission service providers, in proportion to </w:t>
      </w:r>
    </w:p>
    <w:p w14:paraId="543610BC" w14:textId="1DFFB8B0" w:rsidR="00903C3A" w:rsidRPr="00746F54" w:rsidRDefault="00903C3A" w:rsidP="00903C3A">
      <w:pPr>
        <w:pStyle w:val="ParaText"/>
        <w:ind w:left="1440"/>
        <w:rPr>
          <w:rFonts w:ascii="Arial" w:hAnsi="Arial" w:cs="Arial"/>
        </w:rPr>
      </w:pPr>
      <w:r w:rsidRPr="00746F54">
        <w:rPr>
          <w:rFonts w:ascii="Arial" w:hAnsi="Arial" w:cs="Arial"/>
        </w:rPr>
        <w:lastRenderedPageBreak/>
        <w:t xml:space="preserve">(a) the EDAM transmission service provider’s gross load divided by </w:t>
      </w:r>
    </w:p>
    <w:p w14:paraId="392CE1C0" w14:textId="3422E6F7" w:rsidR="00903C3A" w:rsidRPr="00746F54" w:rsidRDefault="00903C3A" w:rsidP="00903C3A">
      <w:pPr>
        <w:pStyle w:val="ParaText"/>
        <w:ind w:left="1440"/>
        <w:rPr>
          <w:rFonts w:ascii="Arial" w:hAnsi="Arial" w:cs="Arial"/>
        </w:rPr>
      </w:pPr>
      <w:r w:rsidRPr="00746F54">
        <w:rPr>
          <w:rFonts w:ascii="Arial" w:hAnsi="Arial" w:cs="Arial"/>
        </w:rPr>
        <w:t xml:space="preserve">(b) the total EDAM area gross load minus gross load of the EDAM transmission service </w:t>
      </w:r>
      <w:r w:rsidR="00C95132" w:rsidRPr="00746F54">
        <w:rPr>
          <w:rFonts w:ascii="Arial" w:hAnsi="Arial" w:cs="Arial"/>
        </w:rPr>
        <w:t>provider.</w:t>
      </w:r>
      <w:r w:rsidRPr="00746F54">
        <w:rPr>
          <w:rFonts w:ascii="Arial" w:hAnsi="Arial" w:cs="Arial"/>
        </w:rPr>
        <w:t xml:space="preserve"> </w:t>
      </w:r>
    </w:p>
    <w:p w14:paraId="09DD5A58" w14:textId="792E24DD" w:rsidR="00903C3A" w:rsidRPr="00746F54" w:rsidRDefault="00903C3A" w:rsidP="00903C3A">
      <w:pPr>
        <w:pStyle w:val="ParaText"/>
        <w:ind w:left="720"/>
        <w:rPr>
          <w:rFonts w:ascii="Arial" w:hAnsi="Arial" w:cs="Arial"/>
        </w:rPr>
      </w:pPr>
      <w:r w:rsidRPr="00746F54">
        <w:rPr>
          <w:rFonts w:ascii="Arial" w:hAnsi="Arial" w:cs="Arial"/>
        </w:rPr>
        <w:t xml:space="preserve">(2) calculating the total EDAM recoverable revenue allocation; and </w:t>
      </w:r>
    </w:p>
    <w:p w14:paraId="0BDFA269" w14:textId="097ED1F5" w:rsidR="00903C3A" w:rsidRPr="00746F54" w:rsidRDefault="00903C3A" w:rsidP="00903C3A">
      <w:pPr>
        <w:pStyle w:val="ParaText"/>
        <w:ind w:left="720"/>
        <w:rPr>
          <w:rFonts w:ascii="Arial" w:hAnsi="Arial" w:cs="Arial"/>
        </w:rPr>
      </w:pPr>
      <w:r w:rsidRPr="00746F54">
        <w:rPr>
          <w:rFonts w:ascii="Arial" w:hAnsi="Arial" w:cs="Arial"/>
        </w:rPr>
        <w:t>(3) dividing the total EDAM recoverable revenue by the EDAM transmission service provider’s gross load.</w:t>
      </w:r>
    </w:p>
    <w:p w14:paraId="1D6651B7" w14:textId="77777777" w:rsidR="00903C3A" w:rsidRPr="00746F54" w:rsidRDefault="00903C3A" w:rsidP="00903C3A">
      <w:pPr>
        <w:pStyle w:val="Heading2"/>
        <w:rPr>
          <w:rFonts w:ascii="Arial" w:hAnsi="Arial" w:cs="Arial"/>
        </w:rPr>
      </w:pPr>
      <w:bookmarkStart w:id="132" w:name="_Toc211337913"/>
      <w:bookmarkStart w:id="133" w:name="_Toc228963708"/>
      <w:r w:rsidRPr="00746F54">
        <w:rPr>
          <w:rFonts w:ascii="Arial" w:hAnsi="Arial" w:cs="Arial"/>
        </w:rPr>
        <w:t>Calculation of EDAM Recoverable Revenue</w:t>
      </w:r>
      <w:bookmarkEnd w:id="132"/>
      <w:bookmarkEnd w:id="133"/>
    </w:p>
    <w:p w14:paraId="79599C77" w14:textId="54FBA35F" w:rsidR="00903C3A" w:rsidRPr="00746F54" w:rsidRDefault="00903C3A" w:rsidP="00903C3A">
      <w:pPr>
        <w:pStyle w:val="ParaText"/>
        <w:rPr>
          <w:rFonts w:ascii="Arial" w:hAnsi="Arial" w:cs="Arial"/>
        </w:rPr>
      </w:pPr>
      <w:r w:rsidRPr="00746F54">
        <w:rPr>
          <w:rFonts w:ascii="Arial" w:hAnsi="Arial" w:cs="Arial"/>
        </w:rPr>
        <w:t>EDAM recoverable revenue will consist of the sum of the following three components: short-term firm and non-firm point-to-point transmission and wheeling access charge revenues, new transmission capacity, and recovery of transmission costs associated with edam wheeling through volumes net of imports/exports.  Each calculation is explained below.</w:t>
      </w:r>
    </w:p>
    <w:p w14:paraId="7DD469E7" w14:textId="77777777" w:rsidR="00903C3A" w:rsidRPr="00746F54" w:rsidRDefault="00903C3A" w:rsidP="00903C3A">
      <w:pPr>
        <w:pStyle w:val="Heading3"/>
        <w:rPr>
          <w:rStyle w:val="Heading3Char"/>
          <w:rFonts w:ascii="Arial" w:hAnsi="Arial" w:cs="Arial"/>
          <w:b/>
          <w:bCs/>
        </w:rPr>
      </w:pPr>
      <w:bookmarkStart w:id="134" w:name="_Toc211337914"/>
      <w:r w:rsidRPr="00746F54">
        <w:rPr>
          <w:rStyle w:val="Heading3Char"/>
          <w:rFonts w:ascii="Arial" w:hAnsi="Arial" w:cs="Arial"/>
          <w:b/>
          <w:bCs/>
        </w:rPr>
        <w:t>Component 1: Short-Term Firm and Non-Firm Point-to-Point Transmission and Wheeling Access Charge Revenues</w:t>
      </w:r>
      <w:bookmarkEnd w:id="134"/>
      <w:r w:rsidRPr="00746F54">
        <w:rPr>
          <w:rStyle w:val="Heading3Char"/>
          <w:rFonts w:ascii="Arial" w:hAnsi="Arial" w:cs="Arial"/>
          <w:b/>
          <w:bCs/>
        </w:rPr>
        <w:t xml:space="preserve"> </w:t>
      </w:r>
    </w:p>
    <w:p w14:paraId="58EFB9AE" w14:textId="11A6D76D" w:rsidR="00903C3A" w:rsidRPr="00746F54" w:rsidRDefault="00903C3A" w:rsidP="00903C3A">
      <w:pPr>
        <w:pStyle w:val="ParaText"/>
        <w:rPr>
          <w:rFonts w:ascii="Arial" w:hAnsi="Arial" w:cs="Arial"/>
        </w:rPr>
      </w:pPr>
      <w:r w:rsidRPr="00746F54">
        <w:rPr>
          <w:rFonts w:ascii="Arial" w:hAnsi="Arial" w:cs="Arial"/>
        </w:rPr>
        <w:t xml:space="preserve">Eligible component 1 costs are revenue shortfalls associated with the costs of forgoing certain historical transmission sales to third parties, excluding costs related to sales to the EDAM entity marketing function associated with EDAM transmission service providers. Only forgone revenues associated with the following transmission products are eligible for historical revenue recovery: hourly non-firm point-to-point, daily non-firm point-to-point, weekly non-firm point-to-point, monthly non-firm point-to-point, hourly firm point-to-point, daily firm point-to-point, weekly firm point-to-point, and monthly firm point-to-point transmission service. Each EDAM transmission service provider will calculate the annual average of its revenues from the qualifying products described in Section 33.26.2.1 of the tariff for the three years leading up to its EDAM participation. That three-year average will be fixed for purposes of calculating the EDAM access charge for the EDAM entity’s EDAM participation. For component 1 of EDAM recoverable revenue, the EDAM transmission service provider will include only that portion of revenues from the three-year average the EDAM transmission service provider reasonably expects to forgo </w:t>
      </w:r>
      <w:proofErr w:type="gramStart"/>
      <w:r w:rsidRPr="00746F54">
        <w:rPr>
          <w:rFonts w:ascii="Arial" w:hAnsi="Arial" w:cs="Arial"/>
        </w:rPr>
        <w:t>as a result of</w:t>
      </w:r>
      <w:proofErr w:type="gramEnd"/>
      <w:r w:rsidRPr="00746F54">
        <w:rPr>
          <w:rFonts w:ascii="Arial" w:hAnsi="Arial" w:cs="Arial"/>
        </w:rPr>
        <w:t xml:space="preserve"> participating in the EDAM. In the annual true-up, the EDAM transmission service provider will use its actual shortfall in lieu of the forecasted shortfall. The actual shortfall will be the difference between the EDAM transmission service provider’s actual sales of qualifying products for the applicable calendar year compared to the fixed three-year pre-EDAM average. EDAM recoverable revenue for each EDAM entity will not exceed the product of (a) its projected component 1 EDAM recoverable revenue and (b) the percentage </w:t>
      </w:r>
      <w:r w:rsidRPr="00746F54">
        <w:rPr>
          <w:rFonts w:ascii="Arial" w:hAnsi="Arial" w:cs="Arial"/>
        </w:rPr>
        <w:lastRenderedPageBreak/>
        <w:t>resulting from dividing exports from its EDAM BAA to the EDAM Area by total exports from the EDAM BAA.</w:t>
      </w:r>
    </w:p>
    <w:p w14:paraId="7FB31E4D" w14:textId="77777777" w:rsidR="00903C3A" w:rsidRPr="00746F54" w:rsidRDefault="00903C3A" w:rsidP="00903C3A">
      <w:pPr>
        <w:pStyle w:val="Heading3"/>
        <w:rPr>
          <w:rFonts w:ascii="Arial" w:hAnsi="Arial" w:cs="Arial"/>
        </w:rPr>
      </w:pPr>
      <w:bookmarkStart w:id="135" w:name="_Toc211337915"/>
      <w:r w:rsidRPr="00746F54">
        <w:rPr>
          <w:rFonts w:ascii="Arial" w:hAnsi="Arial" w:cs="Arial"/>
        </w:rPr>
        <w:t>Component 2: New Transmission Capacity</w:t>
      </w:r>
      <w:bookmarkEnd w:id="135"/>
      <w:r w:rsidRPr="00746F54">
        <w:rPr>
          <w:rFonts w:ascii="Arial" w:hAnsi="Arial" w:cs="Arial"/>
        </w:rPr>
        <w:t xml:space="preserve"> </w:t>
      </w:r>
    </w:p>
    <w:p w14:paraId="159E64DD" w14:textId="364CB755" w:rsidR="00903C3A" w:rsidRPr="00746F54" w:rsidRDefault="00903C3A" w:rsidP="00903C3A">
      <w:pPr>
        <w:pStyle w:val="ParaText"/>
        <w:rPr>
          <w:rFonts w:ascii="Arial" w:hAnsi="Arial" w:cs="Arial"/>
        </w:rPr>
      </w:pPr>
      <w:r w:rsidRPr="00746F54">
        <w:rPr>
          <w:rFonts w:ascii="Arial" w:hAnsi="Arial" w:cs="Arial"/>
        </w:rPr>
        <w:t xml:space="preserve">Eligible component 2 costs include (a) costs resulting from reduced revenues from sales of non-firm and short-term firm transmission associated with the release of transmission capacity resulting from the expiration of EDAM legacy contracts, and (b) the cost associated with forgone transmission sales on certain new network upgrades. </w:t>
      </w:r>
    </w:p>
    <w:p w14:paraId="7890338B" w14:textId="74197BC0" w:rsidR="00903C3A" w:rsidRPr="00746F54" w:rsidRDefault="00903C3A" w:rsidP="00903C3A">
      <w:pPr>
        <w:pStyle w:val="ParaText"/>
        <w:rPr>
          <w:rFonts w:ascii="Arial" w:hAnsi="Arial" w:cs="Arial"/>
        </w:rPr>
      </w:pPr>
      <w:r w:rsidRPr="00746F54">
        <w:rPr>
          <w:rFonts w:ascii="Arial" w:hAnsi="Arial" w:cs="Arial"/>
        </w:rPr>
        <w:t xml:space="preserve">An EDAM transmission service provider may include in its component 2 EDAM recoverable revenue those revenue shortfalls from sales of non-firm and short-term firm transmission associated with the release of transmission capacity resulting from the expiration of EDAM legacy contracts that were not included as EDAM recoverable revenue in component 1. The EDAM transmission service provider may not recover as EDAM recoverable revenue more than the product of the most recent annual revenue of the expired EDAM legacy contract multiplied by the ratio of (a) the non-firm and short-term firm point-to-point historical EDAM recoverable transmission revenues from the pre-EDAM three-year average in component 1 to (b) the EDAM entity’s annual average revenue requirement over the same three years. </w:t>
      </w:r>
    </w:p>
    <w:p w14:paraId="4F1663B7" w14:textId="7F504F33" w:rsidR="00903C3A" w:rsidRPr="00746F54" w:rsidRDefault="00903C3A" w:rsidP="00903C3A">
      <w:pPr>
        <w:pStyle w:val="ParaText"/>
        <w:rPr>
          <w:rFonts w:ascii="Arial" w:hAnsi="Arial" w:cs="Arial"/>
        </w:rPr>
      </w:pPr>
      <w:r w:rsidRPr="00746F54">
        <w:rPr>
          <w:rFonts w:ascii="Arial" w:hAnsi="Arial" w:cs="Arial"/>
        </w:rPr>
        <w:t xml:space="preserve">An EDAM transmission service provider may include in its component 2 EDAM recoverable revenue forgone revenue from eligible new network upgrades. Eligible new network upgrades are those that: (a) are in service; (b) are already included in the EDAM transmission service provider’s transmission rates or have otherwise been approved for rate recovery by the local regulatory authority or FERC, as applicable; (c) increase transfer capability between the EDAM entity BAAs or between the CAISO BAA and an EDAM entity BAA; and (d) are energized after the applicable EDAM transmission service provider begins participation in the Day-Ahead Market. For each new qualifying network upgrade, the EDAM transmission service provider will calculate an estimate of forgone revenue applicable to that network upgrade. Because new network upgrades will not have a three-year historical baseline, the EDAM transmission service provider will calculate a proxy baseline. To do so, the EDAM transmission service provider will calculate the ratio of (a) the non-firm and short-term firm point-to-point historical transmission revenues from the pre-EDAM three-year average in component 1 to (b) the EDAM Entity’s annual average revenue requirement over the same three years. The EDAM transmission service provider’s proxy baseline for the new network upgrade will be the product of this ratio and the transmission revenue requirement for the new network upgrade. The EDAM transmission service provider will then include as its component 2 EDAM Recoverable Revenue those revenues it expects to forgo from the new network upgrade </w:t>
      </w:r>
      <w:proofErr w:type="gramStart"/>
      <w:r w:rsidRPr="00746F54">
        <w:rPr>
          <w:rFonts w:ascii="Arial" w:hAnsi="Arial" w:cs="Arial"/>
        </w:rPr>
        <w:t>as a result of</w:t>
      </w:r>
      <w:proofErr w:type="gramEnd"/>
      <w:r w:rsidRPr="00746F54">
        <w:rPr>
          <w:rFonts w:ascii="Arial" w:hAnsi="Arial" w:cs="Arial"/>
        </w:rPr>
        <w:t xml:space="preserve"> participating in the EDAM, not to exceed the proxy baseline. After the first year the new network upgrade is included in the EDAM access charge, the EDAM transmission service provider will true-up </w:t>
      </w:r>
      <w:r w:rsidRPr="00746F54">
        <w:rPr>
          <w:rFonts w:ascii="Arial" w:hAnsi="Arial" w:cs="Arial"/>
        </w:rPr>
        <w:lastRenderedPageBreak/>
        <w:t xml:space="preserve">actual forgone revenues to projected forgone revenues in the following year’s component 2 EDAM recoverable revenue based on the proxy baseline. </w:t>
      </w:r>
    </w:p>
    <w:p w14:paraId="0F3C3794" w14:textId="4C3420DB" w:rsidR="00903C3A" w:rsidRPr="00746F54" w:rsidRDefault="00903C3A" w:rsidP="00903C3A">
      <w:pPr>
        <w:pStyle w:val="ParaText"/>
        <w:rPr>
          <w:rFonts w:ascii="Arial" w:hAnsi="Arial" w:cs="Arial"/>
        </w:rPr>
      </w:pPr>
      <w:r w:rsidRPr="00746F54">
        <w:rPr>
          <w:rFonts w:ascii="Arial" w:hAnsi="Arial" w:cs="Arial"/>
        </w:rPr>
        <w:t>Network upgrades will be deemed to increase transfer capability where they: (a) increase total transfer capability; (b) create new interfaces; (c) increase the simultaneous import limits at existing interfaces; (d) result from an Interregional Transmission Project to increase transfer capability; or (e) were identified through the WECC path rating process as increasing total transfer capability or creating new transmission interfaces; between EDAM entity BAAs or between the CAISO BAA and an EDAM entity BAA.</w:t>
      </w:r>
    </w:p>
    <w:p w14:paraId="142CD5CD" w14:textId="1E658D24" w:rsidR="00903C3A" w:rsidRPr="00746F54" w:rsidRDefault="00903C3A" w:rsidP="00903C3A">
      <w:pPr>
        <w:pStyle w:val="ParaText"/>
        <w:rPr>
          <w:rFonts w:ascii="Arial" w:hAnsi="Arial" w:cs="Arial"/>
        </w:rPr>
      </w:pPr>
      <w:r w:rsidRPr="00746F54">
        <w:rPr>
          <w:rFonts w:ascii="Arial" w:hAnsi="Arial" w:cs="Arial"/>
        </w:rPr>
        <w:t xml:space="preserve">Eligible component 3 costs are projected revenue shortfalls associated with wheeling-through an EDAM entity BAA or the CAISO BAA. An EDAM transmission service provider’s EDAM recoverable revenue will include those revenues associated with its total volume of wheeling-through transactions </w:t>
      </w:r>
      <w:proofErr w:type="gramStart"/>
      <w:r w:rsidRPr="00746F54">
        <w:rPr>
          <w:rFonts w:ascii="Arial" w:hAnsi="Arial" w:cs="Arial"/>
        </w:rPr>
        <w:t>in excess of</w:t>
      </w:r>
      <w:proofErr w:type="gramEnd"/>
      <w:r w:rsidRPr="00746F54">
        <w:rPr>
          <w:rFonts w:ascii="Arial" w:hAnsi="Arial" w:cs="Arial"/>
        </w:rPr>
        <w:t xml:space="preserve"> the total net transfers (imports and exports) of the applicable EDAM entity BAA or CAISO </w:t>
      </w:r>
      <w:r w:rsidR="00C95132" w:rsidRPr="00746F54">
        <w:rPr>
          <w:rFonts w:ascii="Arial" w:hAnsi="Arial" w:cs="Arial"/>
        </w:rPr>
        <w:t>BAA, as</w:t>
      </w:r>
      <w:r w:rsidRPr="00746F54">
        <w:rPr>
          <w:rFonts w:ascii="Arial" w:hAnsi="Arial" w:cs="Arial"/>
        </w:rPr>
        <w:t xml:space="preserve"> measured </w:t>
      </w:r>
      <w:proofErr w:type="gramStart"/>
      <w:r w:rsidRPr="00746F54">
        <w:rPr>
          <w:rFonts w:ascii="Arial" w:hAnsi="Arial" w:cs="Arial"/>
        </w:rPr>
        <w:t>on a monthly basis</w:t>
      </w:r>
      <w:proofErr w:type="gramEnd"/>
      <w:r w:rsidRPr="00746F54">
        <w:rPr>
          <w:rFonts w:ascii="Arial" w:hAnsi="Arial" w:cs="Arial"/>
        </w:rPr>
        <w:t xml:space="preserve">. In periods where this excess occurs, the CAISO will calculate the EDAM recoverable revenue by multiplying that volume of wheeling-through transactions </w:t>
      </w:r>
      <w:proofErr w:type="gramStart"/>
      <w:r w:rsidRPr="00746F54">
        <w:rPr>
          <w:rFonts w:ascii="Arial" w:hAnsi="Arial" w:cs="Arial"/>
        </w:rPr>
        <w:t>in excess of</w:t>
      </w:r>
      <w:proofErr w:type="gramEnd"/>
      <w:r w:rsidRPr="00746F54">
        <w:rPr>
          <w:rFonts w:ascii="Arial" w:hAnsi="Arial" w:cs="Arial"/>
        </w:rPr>
        <w:t xml:space="preserve"> the total net transfers by the applicable EDAM transmission service provider’s non-firm hourly point-to-point transmission rate. For participating transmission </w:t>
      </w:r>
      <w:r w:rsidR="00C95132" w:rsidRPr="00746F54">
        <w:rPr>
          <w:rFonts w:ascii="Arial" w:hAnsi="Arial" w:cs="Arial"/>
        </w:rPr>
        <w:t>owners, the</w:t>
      </w:r>
      <w:r w:rsidRPr="00746F54">
        <w:rPr>
          <w:rFonts w:ascii="Arial" w:hAnsi="Arial" w:cs="Arial"/>
        </w:rPr>
        <w:t xml:space="preserve"> CAISO will use the applicable </w:t>
      </w:r>
      <w:proofErr w:type="gramStart"/>
      <w:r w:rsidRPr="00746F54">
        <w:rPr>
          <w:rFonts w:ascii="Arial" w:hAnsi="Arial" w:cs="Arial"/>
        </w:rPr>
        <w:t>wheeling</w:t>
      </w:r>
      <w:proofErr w:type="gramEnd"/>
      <w:r w:rsidRPr="00746F54">
        <w:rPr>
          <w:rFonts w:ascii="Arial" w:hAnsi="Arial" w:cs="Arial"/>
        </w:rPr>
        <w:t xml:space="preserve"> </w:t>
      </w:r>
      <w:proofErr w:type="gramStart"/>
      <w:r w:rsidRPr="00746F54">
        <w:rPr>
          <w:rFonts w:ascii="Arial" w:hAnsi="Arial" w:cs="Arial"/>
        </w:rPr>
        <w:t>access charge</w:t>
      </w:r>
      <w:proofErr w:type="gramEnd"/>
      <w:r w:rsidRPr="00746F54">
        <w:rPr>
          <w:rFonts w:ascii="Arial" w:hAnsi="Arial" w:cs="Arial"/>
        </w:rPr>
        <w:t xml:space="preserve"> rate.</w:t>
      </w:r>
    </w:p>
    <w:p w14:paraId="1712D352" w14:textId="77777777" w:rsidR="00903C3A" w:rsidRPr="00746F54" w:rsidRDefault="00903C3A" w:rsidP="00903C3A">
      <w:pPr>
        <w:pStyle w:val="Heading2"/>
        <w:rPr>
          <w:rFonts w:ascii="Arial" w:hAnsi="Arial" w:cs="Arial"/>
        </w:rPr>
      </w:pPr>
      <w:bookmarkStart w:id="136" w:name="_Toc211337916"/>
      <w:bookmarkStart w:id="137" w:name="_Toc228963709"/>
      <w:r w:rsidRPr="00746F54">
        <w:rPr>
          <w:rFonts w:ascii="Arial" w:hAnsi="Arial" w:cs="Arial"/>
        </w:rPr>
        <w:t>Assessing Access Charges and Allocating Revenues in the EDAM</w:t>
      </w:r>
      <w:bookmarkEnd w:id="136"/>
      <w:bookmarkEnd w:id="137"/>
      <w:r w:rsidRPr="00746F54">
        <w:rPr>
          <w:rFonts w:ascii="Arial" w:hAnsi="Arial" w:cs="Arial"/>
        </w:rPr>
        <w:t xml:space="preserve"> </w:t>
      </w:r>
    </w:p>
    <w:p w14:paraId="4841ACF5" w14:textId="446C053B" w:rsidR="00903C3A" w:rsidRPr="00746F54" w:rsidRDefault="00903C3A" w:rsidP="00903C3A">
      <w:pPr>
        <w:pStyle w:val="ParaText"/>
        <w:rPr>
          <w:rFonts w:ascii="Arial" w:hAnsi="Arial" w:cs="Arial"/>
        </w:rPr>
      </w:pPr>
      <w:r w:rsidRPr="00746F54">
        <w:rPr>
          <w:rFonts w:ascii="Arial" w:hAnsi="Arial" w:cs="Arial"/>
        </w:rPr>
        <w:t>To recover each EDAM transmission service provider’s EDAM recoverable revenue, the CAISO will assess an EDAM access charge to gross load in each EDAM BAA. Each EDAM access charge will recover the projected EDAM recoverable revenue for the EDAM BAAs outside the BAA for that EDAM access charge, such that no EDAM BAA will be assessed its own projected EDAM recoverable revenue. The CAISO will assess EDAM access charges based on the EDAM BAAs’  gross loads. The CAISO will allocate revenues collected from the EDAM access charges to EDAM entities on behalf of each EDAM transmission service provider, in proportion to each EDAM entity’s proportionate share of total projected EDAM recoverable revenue. Any difference between projected EDAM recoverable revenue and actual EDAM recoverable revenue will be included as debits or credits in the annual true-up, as provided in Section 33.26.1.2 of the tariff.</w:t>
      </w:r>
    </w:p>
    <w:p w14:paraId="1A950760" w14:textId="77777777" w:rsidR="00903C3A" w:rsidRPr="00746F54" w:rsidRDefault="00903C3A" w:rsidP="00903C3A">
      <w:pPr>
        <w:pStyle w:val="Heading2"/>
        <w:rPr>
          <w:rFonts w:ascii="Arial" w:hAnsi="Arial" w:cs="Arial"/>
        </w:rPr>
      </w:pPr>
      <w:bookmarkStart w:id="138" w:name="_Toc211337917"/>
      <w:bookmarkStart w:id="139" w:name="_Toc228963710"/>
      <w:r w:rsidRPr="00746F54">
        <w:rPr>
          <w:rFonts w:ascii="Arial" w:hAnsi="Arial" w:cs="Arial"/>
        </w:rPr>
        <w:t>Documentation</w:t>
      </w:r>
      <w:bookmarkEnd w:id="138"/>
      <w:bookmarkEnd w:id="139"/>
      <w:r w:rsidRPr="00746F54">
        <w:rPr>
          <w:rFonts w:ascii="Arial" w:hAnsi="Arial" w:cs="Arial"/>
        </w:rPr>
        <w:t xml:space="preserve"> </w:t>
      </w:r>
    </w:p>
    <w:p w14:paraId="6248B594" w14:textId="6BC1623E" w:rsidR="00903C3A" w:rsidRPr="00746F54" w:rsidRDefault="00903C3A" w:rsidP="00903C3A">
      <w:pPr>
        <w:pStyle w:val="ParaText"/>
        <w:rPr>
          <w:rFonts w:ascii="Arial" w:hAnsi="Arial" w:cs="Arial"/>
        </w:rPr>
      </w:pPr>
      <w:r w:rsidRPr="00746F54">
        <w:rPr>
          <w:rFonts w:ascii="Arial" w:hAnsi="Arial" w:cs="Arial"/>
        </w:rPr>
        <w:t xml:space="preserve">EDAM transmission service providers will provide the CAISO all supporting documentation necessary to determine the local EDAM access charges in each BAA by July 1 of the year prior </w:t>
      </w:r>
      <w:r w:rsidRPr="00746F54">
        <w:rPr>
          <w:rFonts w:ascii="Arial" w:hAnsi="Arial" w:cs="Arial"/>
        </w:rPr>
        <w:lastRenderedPageBreak/>
        <w:t xml:space="preserve">to each year in which the EDAM access charge will apply. The CAISO will publish all supporting documentation on the CAISO website. At a minimum EDAM entities must provide: (a) the final order from FERC or the local regulatory authority affecting their approved transmission rates and any informational filings or postings under relevant formula rates; (b) the sums for each EDAM recoverable revenue component and true-up; and (c) an authorized affidavit from each EDAM transmission service provider attesting to the accuracy of the data provided and that the EDAM transmission service provider will make reasonable efforts to avoid any double recovery of costs through the EDAM access charge. All data provided must be sufficiently granular to enable verification of the EDAM access charge rates by the CAISO and market participants. For each EDAM transmission service provider, the CAISO will maintain on its website the current sum of each recoverable revenue component, the total true-up amount, and the total eligible recovery amount. The CAISO will maintain on its website each EDAM access charge, including the rate, the gross load, and the total eligible recovery amount in that BAA.  </w:t>
      </w:r>
    </w:p>
    <w:p w14:paraId="1A6AE874" w14:textId="77777777" w:rsidR="00903C3A" w:rsidRPr="00746F54" w:rsidRDefault="00903C3A" w:rsidP="00903C3A">
      <w:pPr>
        <w:pStyle w:val="Heading2"/>
        <w:rPr>
          <w:rFonts w:ascii="Arial" w:hAnsi="Arial" w:cs="Arial"/>
        </w:rPr>
      </w:pPr>
      <w:bookmarkStart w:id="140" w:name="_Toc211337918"/>
      <w:bookmarkStart w:id="141" w:name="_Toc228963711"/>
      <w:r w:rsidRPr="00746F54">
        <w:rPr>
          <w:rFonts w:ascii="Arial" w:hAnsi="Arial" w:cs="Arial"/>
        </w:rPr>
        <w:t>Exit from EDAM</w:t>
      </w:r>
      <w:bookmarkEnd w:id="140"/>
      <w:bookmarkEnd w:id="141"/>
      <w:r w:rsidRPr="00746F54">
        <w:rPr>
          <w:rFonts w:ascii="Arial" w:hAnsi="Arial" w:cs="Arial"/>
        </w:rPr>
        <w:t xml:space="preserve"> </w:t>
      </w:r>
    </w:p>
    <w:p w14:paraId="12645D05" w14:textId="2529FDF2" w:rsidR="00903C3A" w:rsidRPr="00746F54" w:rsidRDefault="00903C3A" w:rsidP="00903C3A">
      <w:pPr>
        <w:pStyle w:val="ParaText"/>
        <w:rPr>
          <w:rFonts w:ascii="Arial" w:hAnsi="Arial" w:cs="Arial"/>
        </w:rPr>
      </w:pPr>
      <w:r w:rsidRPr="00746F54">
        <w:rPr>
          <w:rFonts w:ascii="Arial" w:hAnsi="Arial" w:cs="Arial"/>
        </w:rPr>
        <w:t xml:space="preserve">If an EDAM entity withdraws from the EDAM pursuant to Section 3 of its EDAM addendum to the EIM entity agreement, it will continue to collect and be assessed EDAM access charges only during the six-month interim notice period before withdrawing from the EDAM. A withdrawn EDAM entity will not collect, be assessed, or true-up any costs or revenues through the EDAM access charge after this interim notice period, except for the previous calendar year’s true-up under Section 33.26.5.1 of the tariff. </w:t>
      </w:r>
    </w:p>
    <w:p w14:paraId="2F51491B" w14:textId="63B30DCC" w:rsidR="00903C3A" w:rsidRPr="00746F54" w:rsidRDefault="00903C3A" w:rsidP="00903C3A">
      <w:pPr>
        <w:pStyle w:val="ParaText"/>
        <w:rPr>
          <w:rFonts w:ascii="Arial" w:hAnsi="Arial" w:cs="Arial"/>
        </w:rPr>
      </w:pPr>
      <w:r w:rsidRPr="00746F54">
        <w:rPr>
          <w:rFonts w:ascii="Arial" w:hAnsi="Arial" w:cs="Arial"/>
        </w:rPr>
        <w:t xml:space="preserve">If an EDAM entity owed or was owed any true-up amount from the previous calendar year pursuant to Section 33.26.1.2 of the tariff before it gave its written notice of termination to the CAISO in accordance with Section 3 of its EDAM addendum to the EIM entity agreement, and it withdraws from the EDAM before the end of the calendar year such that any true- up amount remains outstanding, either: (a) the EDAM entity will pay the CAISO the remaining true-up balance it owed upon the end of the interim period described in Section 33.26.5 of the tariff, and the CAISO will distribute that balance through the EDAM access charges over the rest of the calendar year; or (b) the CAISO will continue to collect the remaining true-up amount owed the EDAM entity through the EDAM access charges throughout the rest of the calendar year, and will pay that true-up amount to the EDAM entity thereafter. Section 33.26.5.1 of the tariff excludes all charges or payments outside of the previous calendar year true-up under Section 33.26.1.2. </w:t>
      </w:r>
    </w:p>
    <w:p w14:paraId="5C6E64CD" w14:textId="77777777" w:rsidR="00903C3A" w:rsidRPr="00746F54" w:rsidRDefault="00903C3A" w:rsidP="00903C3A">
      <w:pPr>
        <w:pStyle w:val="Heading2"/>
        <w:rPr>
          <w:rFonts w:ascii="Arial" w:hAnsi="Arial" w:cs="Arial"/>
        </w:rPr>
      </w:pPr>
      <w:bookmarkStart w:id="142" w:name="_Toc211337919"/>
      <w:bookmarkStart w:id="143" w:name="_Toc228963712"/>
      <w:r w:rsidRPr="00746F54">
        <w:rPr>
          <w:rFonts w:ascii="Arial" w:hAnsi="Arial" w:cs="Arial"/>
        </w:rPr>
        <w:t>Three-Year Review</w:t>
      </w:r>
      <w:bookmarkEnd w:id="142"/>
      <w:bookmarkEnd w:id="143"/>
      <w:r w:rsidRPr="00746F54">
        <w:rPr>
          <w:rFonts w:ascii="Arial" w:hAnsi="Arial" w:cs="Arial"/>
        </w:rPr>
        <w:t xml:space="preserve"> </w:t>
      </w:r>
    </w:p>
    <w:p w14:paraId="121DFE11" w14:textId="635C2270" w:rsidR="00903C3A" w:rsidRPr="00746F54" w:rsidRDefault="00903C3A" w:rsidP="00903C3A">
      <w:pPr>
        <w:pStyle w:val="ParaText"/>
        <w:rPr>
          <w:rFonts w:ascii="Arial" w:hAnsi="Arial" w:cs="Arial"/>
        </w:rPr>
      </w:pPr>
      <w:r w:rsidRPr="00746F54">
        <w:rPr>
          <w:rFonts w:ascii="Arial" w:hAnsi="Arial" w:cs="Arial"/>
        </w:rPr>
        <w:t xml:space="preserve">No later than three years after the original effective date of Section 33.26, the CAISO will publish on its website a performance report on the EDAM access charge. The performance </w:t>
      </w:r>
      <w:r w:rsidRPr="00746F54">
        <w:rPr>
          <w:rFonts w:ascii="Arial" w:hAnsi="Arial" w:cs="Arial"/>
        </w:rPr>
        <w:lastRenderedPageBreak/>
        <w:t>report will include without limitation: an explanation of the impacts of the EDAM access charge on EDAM transmission service providers’ revenue recovery and rates; the performance of the EDAM access charge in managing cost shifts among customers; and analysis by the CAISO of any other impacts or externalities.</w:t>
      </w:r>
    </w:p>
    <w:p w14:paraId="23A893BD" w14:textId="77777777" w:rsidR="00903C3A" w:rsidRPr="00746F54" w:rsidRDefault="00903C3A" w:rsidP="00903C3A">
      <w:pPr>
        <w:pStyle w:val="Heading2"/>
        <w:rPr>
          <w:rFonts w:ascii="Arial" w:hAnsi="Arial" w:cs="Arial"/>
        </w:rPr>
      </w:pPr>
      <w:bookmarkStart w:id="144" w:name="_Toc211337920"/>
      <w:bookmarkStart w:id="145" w:name="_Toc228963713"/>
      <w:r w:rsidRPr="00746F54">
        <w:rPr>
          <w:rFonts w:ascii="Arial" w:hAnsi="Arial" w:cs="Arial"/>
        </w:rPr>
        <w:t>EDAM Access Charge Calculation Examples</w:t>
      </w:r>
      <w:bookmarkEnd w:id="144"/>
      <w:bookmarkEnd w:id="145"/>
    </w:p>
    <w:p w14:paraId="199235FC" w14:textId="58D07A2F" w:rsidR="00903C3A" w:rsidRPr="00746F54" w:rsidRDefault="00903C3A" w:rsidP="00903C3A">
      <w:pPr>
        <w:rPr>
          <w:rFonts w:ascii="Arial" w:eastAsia="Calibri" w:hAnsi="Arial" w:cs="Arial"/>
          <w:bCs/>
        </w:rPr>
      </w:pPr>
      <w:r w:rsidRPr="00746F54">
        <w:rPr>
          <w:rFonts w:ascii="Arial" w:eastAsia="Calibri" w:hAnsi="Arial" w:cs="Arial"/>
          <w:bCs/>
        </w:rPr>
        <w:t>The following example illustrates each mechanism of the EDAM access charge, including an example of a new transmission service provider joining EDAM.  The example is intended only to illustrate how the EDAM access charge would work year to year.  It is not intended to estimate projected values for actual EDAM entities.  The CAISO used illustrative arbitrary values for each figure.</w:t>
      </w:r>
    </w:p>
    <w:p w14:paraId="192DC669" w14:textId="77777777" w:rsidR="00903C3A" w:rsidRPr="00746F54" w:rsidRDefault="00903C3A" w:rsidP="00903C3A">
      <w:pPr>
        <w:rPr>
          <w:rFonts w:ascii="Arial" w:eastAsia="Calibri" w:hAnsi="Arial" w:cs="Arial"/>
          <w:bCs/>
        </w:rPr>
      </w:pPr>
      <w:r w:rsidRPr="00746F54">
        <w:rPr>
          <w:rFonts w:ascii="Arial" w:eastAsia="Calibri" w:hAnsi="Arial" w:cs="Arial"/>
          <w:bCs/>
        </w:rPr>
        <w:t xml:space="preserve">The EDAM access charge is comprised of three components: (1) certain historical transmission revenues, (2) new network upgrade costs that increase EDAM transfer capability, and (3) revenues from wheeling-through transfers exceeding the transmission service provider’s imports and exports. </w:t>
      </w:r>
    </w:p>
    <w:p w14:paraId="0C217706" w14:textId="50EC48BF" w:rsidR="00903C3A" w:rsidRPr="00746F54" w:rsidRDefault="00903C3A" w:rsidP="00903C3A">
      <w:pPr>
        <w:rPr>
          <w:rFonts w:ascii="Arial" w:eastAsia="Calibri" w:hAnsi="Arial" w:cs="Arial"/>
          <w:bCs/>
        </w:rPr>
      </w:pPr>
      <w:r w:rsidRPr="00746F54">
        <w:rPr>
          <w:rFonts w:ascii="Arial" w:eastAsia="Calibri" w:hAnsi="Arial" w:cs="Arial"/>
          <w:bCs/>
        </w:rPr>
        <w:t xml:space="preserve">The example begins with four different EDAM balancing authority areas (BAA). The example assumes each EDAM entity begins participation at the outset of the EDAM in 2026.  Table 1 illustrates their historical 3-year average of EDAM recoverable revenue. </w:t>
      </w:r>
    </w:p>
    <w:p w14:paraId="7ADFE297" w14:textId="77777777" w:rsidR="00903C3A" w:rsidRPr="00746F54" w:rsidRDefault="00903C3A" w:rsidP="00903C3A">
      <w:pPr>
        <w:jc w:val="center"/>
        <w:rPr>
          <w:rFonts w:ascii="Arial" w:eastAsia="Calibri" w:hAnsi="Arial" w:cs="Arial"/>
          <w:b/>
          <w:bCs/>
        </w:rPr>
      </w:pPr>
      <w:r w:rsidRPr="00746F54">
        <w:rPr>
          <w:rFonts w:ascii="Arial" w:eastAsia="Calibri" w:hAnsi="Arial" w:cs="Arial"/>
          <w:b/>
          <w:bCs/>
        </w:rPr>
        <w:t xml:space="preserve">Table 1: Historical 3-year Average of EDAM Recoverable Revenue </w:t>
      </w:r>
    </w:p>
    <w:tbl>
      <w:tblPr>
        <w:tblStyle w:val="TableGrid1"/>
        <w:tblW w:w="0" w:type="auto"/>
        <w:tblLook w:val="04A0" w:firstRow="1" w:lastRow="0" w:firstColumn="1" w:lastColumn="0" w:noHBand="0" w:noVBand="1"/>
      </w:tblPr>
      <w:tblGrid>
        <w:gridCol w:w="2515"/>
        <w:gridCol w:w="4860"/>
      </w:tblGrid>
      <w:tr w:rsidR="00903C3A" w:rsidRPr="00746F54" w14:paraId="2699E8AC" w14:textId="77777777" w:rsidTr="00D62922">
        <w:tc>
          <w:tcPr>
            <w:tcW w:w="2515" w:type="dxa"/>
          </w:tcPr>
          <w:p w14:paraId="7A04AAA5" w14:textId="77777777" w:rsidR="00903C3A" w:rsidRPr="00746F54" w:rsidRDefault="00903C3A" w:rsidP="00D62922">
            <w:pPr>
              <w:rPr>
                <w:rFonts w:ascii="Arial" w:eastAsia="Calibri" w:hAnsi="Arial" w:cs="Arial"/>
              </w:rPr>
            </w:pPr>
            <w:r w:rsidRPr="00746F54">
              <w:rPr>
                <w:rFonts w:ascii="Arial" w:eastAsia="Calibri" w:hAnsi="Arial" w:cs="Arial"/>
              </w:rPr>
              <w:t>EDAM Entity transmission provider</w:t>
            </w:r>
          </w:p>
        </w:tc>
        <w:tc>
          <w:tcPr>
            <w:tcW w:w="4860" w:type="dxa"/>
          </w:tcPr>
          <w:p w14:paraId="20137C72" w14:textId="77777777" w:rsidR="00903C3A" w:rsidRPr="00746F54" w:rsidRDefault="00903C3A" w:rsidP="00D62922">
            <w:pPr>
              <w:rPr>
                <w:rFonts w:ascii="Arial" w:eastAsia="Calibri" w:hAnsi="Arial" w:cs="Arial"/>
              </w:rPr>
            </w:pPr>
            <w:r w:rsidRPr="00746F54">
              <w:rPr>
                <w:rFonts w:ascii="Arial" w:eastAsia="Calibri" w:hAnsi="Arial" w:cs="Arial"/>
              </w:rPr>
              <w:t>Historical 3-year average of short-term transmission sales (for 2026)</w:t>
            </w:r>
            <w:r w:rsidRPr="00746F54">
              <w:rPr>
                <w:rFonts w:ascii="Arial" w:eastAsia="Calibri" w:hAnsi="Arial" w:cs="Arial"/>
                <w:vertAlign w:val="superscript"/>
              </w:rPr>
              <w:footnoteReference w:id="2"/>
            </w:r>
            <w:r w:rsidRPr="00746F54">
              <w:rPr>
                <w:rFonts w:ascii="Arial" w:eastAsia="Calibri" w:hAnsi="Arial" w:cs="Arial"/>
              </w:rPr>
              <w:t xml:space="preserve"> </w:t>
            </w:r>
          </w:p>
        </w:tc>
      </w:tr>
      <w:tr w:rsidR="00903C3A" w:rsidRPr="00746F54" w14:paraId="541F39A8" w14:textId="77777777" w:rsidTr="00D62922">
        <w:tc>
          <w:tcPr>
            <w:tcW w:w="2515" w:type="dxa"/>
          </w:tcPr>
          <w:p w14:paraId="797FDE5B"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4860" w:type="dxa"/>
          </w:tcPr>
          <w:p w14:paraId="39823B06" w14:textId="77777777" w:rsidR="00903C3A" w:rsidRPr="00746F54" w:rsidRDefault="00903C3A" w:rsidP="00D62922">
            <w:pPr>
              <w:rPr>
                <w:rFonts w:ascii="Arial" w:eastAsia="Calibri" w:hAnsi="Arial" w:cs="Arial"/>
              </w:rPr>
            </w:pPr>
            <w:r w:rsidRPr="00746F54">
              <w:rPr>
                <w:rFonts w:ascii="Arial" w:eastAsia="Calibri" w:hAnsi="Arial" w:cs="Arial"/>
              </w:rPr>
              <w:t>$14,242,500</w:t>
            </w:r>
          </w:p>
        </w:tc>
      </w:tr>
      <w:tr w:rsidR="00903C3A" w:rsidRPr="00746F54" w14:paraId="28F88B7E" w14:textId="77777777" w:rsidTr="00D62922">
        <w:tc>
          <w:tcPr>
            <w:tcW w:w="2515" w:type="dxa"/>
          </w:tcPr>
          <w:p w14:paraId="4CF3D220"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4860" w:type="dxa"/>
          </w:tcPr>
          <w:p w14:paraId="40D0E546" w14:textId="77777777" w:rsidR="00903C3A" w:rsidRPr="00746F54" w:rsidRDefault="00903C3A" w:rsidP="00D62922">
            <w:pPr>
              <w:rPr>
                <w:rFonts w:ascii="Arial" w:eastAsia="Calibri" w:hAnsi="Arial" w:cs="Arial"/>
              </w:rPr>
            </w:pPr>
            <w:r w:rsidRPr="00746F54">
              <w:rPr>
                <w:rFonts w:ascii="Arial" w:eastAsia="Calibri" w:hAnsi="Arial" w:cs="Arial"/>
              </w:rPr>
              <w:t>$3,600,000</w:t>
            </w:r>
          </w:p>
        </w:tc>
      </w:tr>
      <w:tr w:rsidR="00903C3A" w:rsidRPr="00746F54" w14:paraId="682E45AA" w14:textId="77777777" w:rsidTr="00D62922">
        <w:tc>
          <w:tcPr>
            <w:tcW w:w="2515" w:type="dxa"/>
          </w:tcPr>
          <w:p w14:paraId="620C2B2D"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4860" w:type="dxa"/>
          </w:tcPr>
          <w:p w14:paraId="07E1455A" w14:textId="77777777" w:rsidR="00903C3A" w:rsidRPr="00746F54" w:rsidRDefault="00903C3A" w:rsidP="00D62922">
            <w:pPr>
              <w:rPr>
                <w:rFonts w:ascii="Arial" w:eastAsia="Calibri" w:hAnsi="Arial" w:cs="Arial"/>
              </w:rPr>
            </w:pPr>
            <w:r w:rsidRPr="00746F54">
              <w:rPr>
                <w:rFonts w:ascii="Arial" w:eastAsia="Calibri" w:hAnsi="Arial" w:cs="Arial"/>
              </w:rPr>
              <w:t>$4,750,000</w:t>
            </w:r>
          </w:p>
        </w:tc>
      </w:tr>
      <w:tr w:rsidR="00903C3A" w:rsidRPr="00746F54" w14:paraId="0F25ADA1" w14:textId="77777777" w:rsidTr="00D62922">
        <w:tc>
          <w:tcPr>
            <w:tcW w:w="2515" w:type="dxa"/>
          </w:tcPr>
          <w:p w14:paraId="52337EE5"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4860" w:type="dxa"/>
          </w:tcPr>
          <w:p w14:paraId="1C9805DD" w14:textId="77777777" w:rsidR="00903C3A" w:rsidRPr="00746F54" w:rsidRDefault="00903C3A" w:rsidP="00D62922">
            <w:pPr>
              <w:rPr>
                <w:rFonts w:ascii="Arial" w:eastAsia="Calibri" w:hAnsi="Arial" w:cs="Arial"/>
              </w:rPr>
            </w:pPr>
            <w:r w:rsidRPr="00746F54">
              <w:rPr>
                <w:rFonts w:ascii="Arial" w:eastAsia="Calibri" w:hAnsi="Arial" w:cs="Arial"/>
              </w:rPr>
              <w:t>$30,700,000</w:t>
            </w:r>
          </w:p>
        </w:tc>
      </w:tr>
    </w:tbl>
    <w:p w14:paraId="3382B1C3" w14:textId="77777777" w:rsidR="00903C3A" w:rsidRPr="00746F54" w:rsidRDefault="00903C3A" w:rsidP="00903C3A">
      <w:pPr>
        <w:spacing w:after="0"/>
        <w:rPr>
          <w:rFonts w:ascii="Arial" w:eastAsia="Calibri" w:hAnsi="Arial" w:cs="Arial"/>
        </w:rPr>
      </w:pPr>
    </w:p>
    <w:p w14:paraId="37EA4920" w14:textId="380D9CDA" w:rsidR="00903C3A" w:rsidRPr="00746F54" w:rsidRDefault="00903C3A" w:rsidP="00903C3A">
      <w:pPr>
        <w:spacing w:after="0"/>
        <w:rPr>
          <w:rFonts w:ascii="Arial" w:eastAsia="Calibri" w:hAnsi="Arial" w:cs="Arial"/>
        </w:rPr>
      </w:pPr>
      <w:r w:rsidRPr="00746F54">
        <w:rPr>
          <w:rFonts w:ascii="Arial" w:eastAsia="Calibri" w:hAnsi="Arial" w:cs="Arial"/>
        </w:rPr>
        <w:t>In EDAM, transmission providers will continue operating their Open Access Transmission Tariffs (OATT) and selling short-term transmission products.</w:t>
      </w:r>
      <w:r w:rsidRPr="00746F54">
        <w:rPr>
          <w:rFonts w:ascii="Arial" w:eastAsia="Calibri" w:hAnsi="Arial" w:cs="Arial"/>
          <w:vertAlign w:val="superscript"/>
        </w:rPr>
        <w:footnoteReference w:id="3"/>
      </w:r>
      <w:r w:rsidRPr="00746F54">
        <w:rPr>
          <w:rFonts w:ascii="Arial" w:eastAsia="Calibri" w:hAnsi="Arial" w:cs="Arial"/>
        </w:rPr>
        <w:t xml:space="preserve">  Thus, a portion of the historical 3-year average of short-term transmission sales under Table 1 is revenue at risk. Each entity will forecast the amount of expected revenue for the particular year, as illustrated in Table 2.</w:t>
      </w:r>
    </w:p>
    <w:p w14:paraId="32042ED0" w14:textId="77777777" w:rsidR="00903C3A" w:rsidRPr="00746F54" w:rsidRDefault="00903C3A" w:rsidP="00903C3A">
      <w:pPr>
        <w:spacing w:after="0"/>
        <w:rPr>
          <w:rFonts w:ascii="Arial" w:eastAsia="Calibri" w:hAnsi="Arial" w:cs="Arial"/>
        </w:rPr>
      </w:pPr>
    </w:p>
    <w:p w14:paraId="6584A166" w14:textId="77777777" w:rsidR="00903C3A" w:rsidRPr="00746F54" w:rsidRDefault="00903C3A" w:rsidP="00903C3A">
      <w:pPr>
        <w:spacing w:after="0"/>
        <w:jc w:val="center"/>
        <w:rPr>
          <w:rFonts w:ascii="Arial" w:eastAsia="Calibri" w:hAnsi="Arial" w:cs="Arial"/>
          <w:b/>
        </w:rPr>
      </w:pPr>
      <w:r w:rsidRPr="00746F54">
        <w:rPr>
          <w:rFonts w:ascii="Arial" w:eastAsia="Calibri" w:hAnsi="Arial" w:cs="Arial"/>
          <w:b/>
        </w:rPr>
        <w:t>Table 2: Projected Eligible Recoverable Revenue for Component 1 for 2026</w:t>
      </w:r>
    </w:p>
    <w:p w14:paraId="2C30BCF8" w14:textId="77777777" w:rsidR="00903C3A" w:rsidRPr="00746F54" w:rsidRDefault="00903C3A" w:rsidP="00903C3A">
      <w:pPr>
        <w:spacing w:after="0"/>
        <w:rPr>
          <w:rFonts w:ascii="Arial" w:eastAsia="Calibri" w:hAnsi="Arial" w:cs="Arial"/>
        </w:rPr>
      </w:pPr>
    </w:p>
    <w:tbl>
      <w:tblPr>
        <w:tblStyle w:val="TableGrid1"/>
        <w:tblW w:w="0" w:type="auto"/>
        <w:tblLook w:val="04A0" w:firstRow="1" w:lastRow="0" w:firstColumn="1" w:lastColumn="0" w:noHBand="0" w:noVBand="1"/>
      </w:tblPr>
      <w:tblGrid>
        <w:gridCol w:w="2329"/>
        <w:gridCol w:w="3604"/>
        <w:gridCol w:w="3417"/>
      </w:tblGrid>
      <w:tr w:rsidR="00903C3A" w:rsidRPr="00746F54" w14:paraId="374266D3" w14:textId="77777777" w:rsidTr="00D62922">
        <w:tc>
          <w:tcPr>
            <w:tcW w:w="2329" w:type="dxa"/>
          </w:tcPr>
          <w:p w14:paraId="64CE33AF" w14:textId="77777777" w:rsidR="00903C3A" w:rsidRPr="00746F54" w:rsidRDefault="00903C3A" w:rsidP="00D62922">
            <w:pPr>
              <w:rPr>
                <w:rFonts w:ascii="Arial" w:eastAsia="Calibri" w:hAnsi="Arial" w:cs="Arial"/>
              </w:rPr>
            </w:pPr>
            <w:r w:rsidRPr="00746F54">
              <w:rPr>
                <w:rFonts w:ascii="Arial" w:eastAsia="Calibri" w:hAnsi="Arial" w:cs="Arial"/>
              </w:rPr>
              <w:lastRenderedPageBreak/>
              <w:t>EDAM Entity transmission provider</w:t>
            </w:r>
          </w:p>
        </w:tc>
        <w:tc>
          <w:tcPr>
            <w:tcW w:w="3604" w:type="dxa"/>
          </w:tcPr>
          <w:p w14:paraId="55A1A640" w14:textId="77777777" w:rsidR="00903C3A" w:rsidRPr="00746F54" w:rsidRDefault="00903C3A" w:rsidP="00D62922">
            <w:pPr>
              <w:rPr>
                <w:rFonts w:ascii="Arial" w:eastAsia="Calibri" w:hAnsi="Arial" w:cs="Arial"/>
              </w:rPr>
            </w:pPr>
            <w:r w:rsidRPr="00746F54">
              <w:rPr>
                <w:rFonts w:ascii="Arial" w:eastAsia="Calibri" w:hAnsi="Arial" w:cs="Arial"/>
              </w:rPr>
              <w:t xml:space="preserve">Historical 3-year average of </w:t>
            </w:r>
            <w:proofErr w:type="gramStart"/>
            <w:r w:rsidRPr="00746F54">
              <w:rPr>
                <w:rFonts w:ascii="Arial" w:eastAsia="Calibri" w:hAnsi="Arial" w:cs="Arial"/>
              </w:rPr>
              <w:t>short term</w:t>
            </w:r>
            <w:proofErr w:type="gramEnd"/>
            <w:r w:rsidRPr="00746F54">
              <w:rPr>
                <w:rFonts w:ascii="Arial" w:eastAsia="Calibri" w:hAnsi="Arial" w:cs="Arial"/>
              </w:rPr>
              <w:t xml:space="preserve"> transmission sales </w:t>
            </w:r>
          </w:p>
        </w:tc>
        <w:tc>
          <w:tcPr>
            <w:tcW w:w="3417" w:type="dxa"/>
          </w:tcPr>
          <w:p w14:paraId="3573D1BF" w14:textId="77777777" w:rsidR="00903C3A" w:rsidRPr="00746F54" w:rsidRDefault="00903C3A" w:rsidP="00D62922">
            <w:pPr>
              <w:rPr>
                <w:rFonts w:ascii="Arial" w:eastAsia="Calibri" w:hAnsi="Arial" w:cs="Arial"/>
              </w:rPr>
            </w:pPr>
            <w:r w:rsidRPr="00746F54">
              <w:rPr>
                <w:rFonts w:ascii="Arial" w:eastAsia="Calibri" w:hAnsi="Arial" w:cs="Arial"/>
              </w:rPr>
              <w:t xml:space="preserve">Component 1: Projected EDAM recoverable revenue </w:t>
            </w:r>
          </w:p>
        </w:tc>
      </w:tr>
      <w:tr w:rsidR="00903C3A" w:rsidRPr="00746F54" w14:paraId="7DF1D4FF" w14:textId="77777777" w:rsidTr="00D62922">
        <w:tc>
          <w:tcPr>
            <w:tcW w:w="2329" w:type="dxa"/>
          </w:tcPr>
          <w:p w14:paraId="096F8FB6"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3604" w:type="dxa"/>
          </w:tcPr>
          <w:p w14:paraId="17E8F18A" w14:textId="77777777" w:rsidR="00903C3A" w:rsidRPr="00746F54" w:rsidRDefault="00903C3A" w:rsidP="00D62922">
            <w:pPr>
              <w:rPr>
                <w:rFonts w:ascii="Arial" w:eastAsia="Calibri" w:hAnsi="Arial" w:cs="Arial"/>
              </w:rPr>
            </w:pPr>
            <w:r w:rsidRPr="00746F54">
              <w:rPr>
                <w:rFonts w:ascii="Arial" w:eastAsia="Calibri" w:hAnsi="Arial" w:cs="Arial"/>
              </w:rPr>
              <w:t>$14,242,500</w:t>
            </w:r>
          </w:p>
        </w:tc>
        <w:tc>
          <w:tcPr>
            <w:tcW w:w="3417" w:type="dxa"/>
          </w:tcPr>
          <w:p w14:paraId="5E870C5B" w14:textId="77777777" w:rsidR="00903C3A" w:rsidRPr="00746F54" w:rsidRDefault="00903C3A" w:rsidP="00D62922">
            <w:pPr>
              <w:rPr>
                <w:rFonts w:ascii="Arial" w:eastAsia="Calibri" w:hAnsi="Arial" w:cs="Arial"/>
              </w:rPr>
            </w:pPr>
            <w:r w:rsidRPr="00746F54">
              <w:rPr>
                <w:rFonts w:ascii="Arial" w:eastAsia="Calibri" w:hAnsi="Arial" w:cs="Arial"/>
              </w:rPr>
              <w:t>$7,121,250</w:t>
            </w:r>
          </w:p>
        </w:tc>
      </w:tr>
      <w:tr w:rsidR="00903C3A" w:rsidRPr="00746F54" w14:paraId="64AC0110" w14:textId="77777777" w:rsidTr="00D62922">
        <w:tc>
          <w:tcPr>
            <w:tcW w:w="2329" w:type="dxa"/>
          </w:tcPr>
          <w:p w14:paraId="418547F4"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3604" w:type="dxa"/>
          </w:tcPr>
          <w:p w14:paraId="3126254C" w14:textId="77777777" w:rsidR="00903C3A" w:rsidRPr="00746F54" w:rsidRDefault="00903C3A" w:rsidP="00D62922">
            <w:pPr>
              <w:rPr>
                <w:rFonts w:ascii="Arial" w:eastAsia="Calibri" w:hAnsi="Arial" w:cs="Arial"/>
              </w:rPr>
            </w:pPr>
            <w:r w:rsidRPr="00746F54">
              <w:rPr>
                <w:rFonts w:ascii="Arial" w:eastAsia="Calibri" w:hAnsi="Arial" w:cs="Arial"/>
              </w:rPr>
              <w:t>$3,600,00</w:t>
            </w:r>
          </w:p>
        </w:tc>
        <w:tc>
          <w:tcPr>
            <w:tcW w:w="3417" w:type="dxa"/>
          </w:tcPr>
          <w:p w14:paraId="1F719D4B" w14:textId="77777777" w:rsidR="00903C3A" w:rsidRPr="00746F54" w:rsidRDefault="00903C3A" w:rsidP="00D62922">
            <w:pPr>
              <w:rPr>
                <w:rFonts w:ascii="Arial" w:eastAsia="Calibri" w:hAnsi="Arial" w:cs="Arial"/>
              </w:rPr>
            </w:pPr>
            <w:r w:rsidRPr="00746F54">
              <w:rPr>
                <w:rFonts w:ascii="Arial" w:eastAsia="Calibri" w:hAnsi="Arial" w:cs="Arial"/>
              </w:rPr>
              <w:t>$1,116,000</w:t>
            </w:r>
          </w:p>
        </w:tc>
      </w:tr>
      <w:tr w:rsidR="00903C3A" w:rsidRPr="00746F54" w14:paraId="7767100B" w14:textId="77777777" w:rsidTr="00D62922">
        <w:tc>
          <w:tcPr>
            <w:tcW w:w="2329" w:type="dxa"/>
          </w:tcPr>
          <w:p w14:paraId="35B1B335"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3604" w:type="dxa"/>
          </w:tcPr>
          <w:p w14:paraId="7D34BD69" w14:textId="77777777" w:rsidR="00903C3A" w:rsidRPr="00746F54" w:rsidRDefault="00903C3A" w:rsidP="00D62922">
            <w:pPr>
              <w:rPr>
                <w:rFonts w:ascii="Arial" w:eastAsia="Calibri" w:hAnsi="Arial" w:cs="Arial"/>
              </w:rPr>
            </w:pPr>
            <w:r w:rsidRPr="00746F54">
              <w:rPr>
                <w:rFonts w:ascii="Arial" w:eastAsia="Calibri" w:hAnsi="Arial" w:cs="Arial"/>
              </w:rPr>
              <w:t>$4,750,000</w:t>
            </w:r>
          </w:p>
        </w:tc>
        <w:tc>
          <w:tcPr>
            <w:tcW w:w="3417" w:type="dxa"/>
          </w:tcPr>
          <w:p w14:paraId="6B535815" w14:textId="77777777" w:rsidR="00903C3A" w:rsidRPr="00746F54" w:rsidRDefault="00903C3A" w:rsidP="00D62922">
            <w:pPr>
              <w:rPr>
                <w:rFonts w:ascii="Arial" w:eastAsia="Calibri" w:hAnsi="Arial" w:cs="Arial"/>
              </w:rPr>
            </w:pPr>
            <w:r w:rsidRPr="00746F54">
              <w:rPr>
                <w:rFonts w:ascii="Arial" w:eastAsia="Calibri" w:hAnsi="Arial" w:cs="Arial"/>
              </w:rPr>
              <w:t>$1,187,500</w:t>
            </w:r>
          </w:p>
        </w:tc>
      </w:tr>
      <w:tr w:rsidR="00903C3A" w:rsidRPr="00746F54" w14:paraId="639C4ACA" w14:textId="77777777" w:rsidTr="00D62922">
        <w:tc>
          <w:tcPr>
            <w:tcW w:w="2329" w:type="dxa"/>
          </w:tcPr>
          <w:p w14:paraId="47DF5DEC"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3604" w:type="dxa"/>
          </w:tcPr>
          <w:p w14:paraId="5F22FE2D" w14:textId="77777777" w:rsidR="00903C3A" w:rsidRPr="00746F54" w:rsidRDefault="00903C3A" w:rsidP="00D62922">
            <w:pPr>
              <w:rPr>
                <w:rFonts w:ascii="Arial" w:eastAsia="Calibri" w:hAnsi="Arial" w:cs="Arial"/>
              </w:rPr>
            </w:pPr>
            <w:r w:rsidRPr="00746F54">
              <w:rPr>
                <w:rFonts w:ascii="Arial" w:eastAsia="Calibri" w:hAnsi="Arial" w:cs="Arial"/>
              </w:rPr>
              <w:t>$30,700,000</w:t>
            </w:r>
          </w:p>
        </w:tc>
        <w:tc>
          <w:tcPr>
            <w:tcW w:w="3417" w:type="dxa"/>
          </w:tcPr>
          <w:p w14:paraId="5C7DDD36" w14:textId="77777777" w:rsidR="00903C3A" w:rsidRPr="00746F54" w:rsidRDefault="00903C3A" w:rsidP="00D62922">
            <w:pPr>
              <w:rPr>
                <w:rFonts w:ascii="Arial" w:eastAsia="Calibri" w:hAnsi="Arial" w:cs="Arial"/>
              </w:rPr>
            </w:pPr>
            <w:r w:rsidRPr="00746F54">
              <w:rPr>
                <w:rFonts w:ascii="Arial" w:eastAsia="Calibri" w:hAnsi="Arial" w:cs="Arial"/>
              </w:rPr>
              <w:t>$1,615,000</w:t>
            </w:r>
          </w:p>
        </w:tc>
      </w:tr>
    </w:tbl>
    <w:p w14:paraId="7DEE0FFB" w14:textId="77777777" w:rsidR="00903C3A" w:rsidRPr="00746F54" w:rsidRDefault="00903C3A" w:rsidP="00903C3A">
      <w:pPr>
        <w:spacing w:after="0"/>
        <w:rPr>
          <w:rFonts w:ascii="Arial" w:eastAsia="Calibri" w:hAnsi="Arial" w:cs="Arial"/>
        </w:rPr>
      </w:pPr>
    </w:p>
    <w:p w14:paraId="30E7FFE7" w14:textId="77777777" w:rsidR="00903C3A" w:rsidRPr="00746F54" w:rsidRDefault="00903C3A" w:rsidP="00903C3A">
      <w:pPr>
        <w:rPr>
          <w:rFonts w:ascii="Arial" w:eastAsia="Calibri" w:hAnsi="Arial" w:cs="Arial"/>
          <w:b/>
          <w:bCs/>
        </w:rPr>
      </w:pPr>
      <w:r w:rsidRPr="00746F54">
        <w:rPr>
          <w:rFonts w:ascii="Arial" w:eastAsia="Calibri" w:hAnsi="Arial" w:cs="Arial"/>
        </w:rPr>
        <w:t>The CAISO’s example assumes some EDAM entities may build new network upgrades increasing EDAM transfer capacity.  Some of these costs would be eligible for recovery in component 2.  To determine eligible costs for component 2, each EDAM entity would compute its ratio of (a) the non-firm and short-term firm point-to-point historical EDAM recoverable transmission revenues to (b) the EDAM transmission owner’s total revenue requirement.  The ratio serves as a proxy for determining the extent to which any new network upgrades benefit the larger EDAM footprint.  Thus, the EDAM entity only recovers new network upgrade costs up to a percentage based on the ratio.</w:t>
      </w:r>
    </w:p>
    <w:p w14:paraId="4F51142A" w14:textId="77777777" w:rsidR="00903C3A" w:rsidRPr="00746F54" w:rsidRDefault="00903C3A" w:rsidP="00903C3A">
      <w:pPr>
        <w:jc w:val="center"/>
        <w:rPr>
          <w:rFonts w:ascii="Arial" w:eastAsia="Calibri" w:hAnsi="Arial" w:cs="Arial"/>
          <w:b/>
          <w:bCs/>
        </w:rPr>
      </w:pPr>
      <w:r w:rsidRPr="00746F54">
        <w:rPr>
          <w:rFonts w:ascii="Arial" w:eastAsia="Calibri" w:hAnsi="Arial" w:cs="Arial"/>
          <w:b/>
          <w:bCs/>
        </w:rPr>
        <w:t xml:space="preserve">Table 3: Ratio of Short-term Sales to Total Transmission Revenue Requirement  </w:t>
      </w:r>
    </w:p>
    <w:tbl>
      <w:tblPr>
        <w:tblStyle w:val="TableGrid1"/>
        <w:tblW w:w="0" w:type="auto"/>
        <w:tblLook w:val="04A0" w:firstRow="1" w:lastRow="0" w:firstColumn="1" w:lastColumn="0" w:noHBand="0" w:noVBand="1"/>
      </w:tblPr>
      <w:tblGrid>
        <w:gridCol w:w="2087"/>
        <w:gridCol w:w="2425"/>
        <w:gridCol w:w="2413"/>
        <w:gridCol w:w="2425"/>
      </w:tblGrid>
      <w:tr w:rsidR="00903C3A" w:rsidRPr="00746F54" w14:paraId="58139CBB" w14:textId="77777777" w:rsidTr="00D62922">
        <w:tc>
          <w:tcPr>
            <w:tcW w:w="2087" w:type="dxa"/>
          </w:tcPr>
          <w:p w14:paraId="747F6187" w14:textId="77777777" w:rsidR="00903C3A" w:rsidRPr="00746F54" w:rsidRDefault="00903C3A" w:rsidP="00D62922">
            <w:pPr>
              <w:rPr>
                <w:rFonts w:ascii="Arial" w:eastAsia="Calibri" w:hAnsi="Arial" w:cs="Arial"/>
              </w:rPr>
            </w:pPr>
            <w:r w:rsidRPr="00746F54">
              <w:rPr>
                <w:rFonts w:ascii="Arial" w:eastAsia="Calibri" w:hAnsi="Arial" w:cs="Arial"/>
              </w:rPr>
              <w:t>EDAM Entity Transmission Provider</w:t>
            </w:r>
          </w:p>
        </w:tc>
        <w:tc>
          <w:tcPr>
            <w:tcW w:w="2425" w:type="dxa"/>
          </w:tcPr>
          <w:p w14:paraId="55CD62D1" w14:textId="77777777" w:rsidR="00903C3A" w:rsidRPr="00746F54" w:rsidRDefault="00903C3A" w:rsidP="00D62922">
            <w:pPr>
              <w:rPr>
                <w:rFonts w:ascii="Arial" w:eastAsia="Calibri" w:hAnsi="Arial" w:cs="Arial"/>
              </w:rPr>
            </w:pPr>
            <w:r w:rsidRPr="00746F54">
              <w:rPr>
                <w:rFonts w:ascii="Arial" w:eastAsia="Calibri" w:hAnsi="Arial" w:cs="Arial"/>
              </w:rPr>
              <w:t xml:space="preserve">Historical 3-year average of </w:t>
            </w:r>
            <w:proofErr w:type="gramStart"/>
            <w:r w:rsidRPr="00746F54">
              <w:rPr>
                <w:rFonts w:ascii="Arial" w:eastAsia="Calibri" w:hAnsi="Arial" w:cs="Arial"/>
              </w:rPr>
              <w:t>short term</w:t>
            </w:r>
            <w:proofErr w:type="gramEnd"/>
            <w:r w:rsidRPr="00746F54">
              <w:rPr>
                <w:rFonts w:ascii="Arial" w:eastAsia="Calibri" w:hAnsi="Arial" w:cs="Arial"/>
              </w:rPr>
              <w:t xml:space="preserve"> transmission sales</w:t>
            </w:r>
          </w:p>
        </w:tc>
        <w:tc>
          <w:tcPr>
            <w:tcW w:w="2413" w:type="dxa"/>
          </w:tcPr>
          <w:p w14:paraId="4354BF9F" w14:textId="77777777" w:rsidR="00903C3A" w:rsidRPr="00746F54" w:rsidRDefault="00903C3A" w:rsidP="00D62922">
            <w:pPr>
              <w:rPr>
                <w:rFonts w:ascii="Arial" w:eastAsia="Calibri" w:hAnsi="Arial" w:cs="Arial"/>
              </w:rPr>
            </w:pPr>
            <w:r w:rsidRPr="00746F54">
              <w:rPr>
                <w:rFonts w:ascii="Arial" w:eastAsia="Calibri" w:hAnsi="Arial" w:cs="Arial"/>
              </w:rPr>
              <w:t xml:space="preserve">Historical 3-year </w:t>
            </w:r>
            <w:proofErr w:type="gramStart"/>
            <w:r w:rsidRPr="00746F54">
              <w:rPr>
                <w:rFonts w:ascii="Arial" w:eastAsia="Calibri" w:hAnsi="Arial" w:cs="Arial"/>
              </w:rPr>
              <w:t>average of</w:t>
            </w:r>
            <w:proofErr w:type="gramEnd"/>
            <w:r w:rsidRPr="00746F54">
              <w:rPr>
                <w:rFonts w:ascii="Arial" w:eastAsia="Calibri" w:hAnsi="Arial" w:cs="Arial"/>
              </w:rPr>
              <w:t xml:space="preserve"> annual transmission revenue requirement</w:t>
            </w:r>
          </w:p>
        </w:tc>
        <w:tc>
          <w:tcPr>
            <w:tcW w:w="2425" w:type="dxa"/>
          </w:tcPr>
          <w:p w14:paraId="25480C7B" w14:textId="77777777" w:rsidR="00903C3A" w:rsidRPr="00746F54" w:rsidRDefault="00903C3A" w:rsidP="00D62922">
            <w:pPr>
              <w:rPr>
                <w:rFonts w:ascii="Arial" w:eastAsia="Calibri" w:hAnsi="Arial" w:cs="Arial"/>
              </w:rPr>
            </w:pPr>
            <w:r w:rsidRPr="00746F54">
              <w:rPr>
                <w:rFonts w:ascii="Arial" w:eastAsia="Calibri" w:hAnsi="Arial" w:cs="Arial"/>
              </w:rPr>
              <w:t>Component 2 ratio</w:t>
            </w:r>
          </w:p>
        </w:tc>
      </w:tr>
      <w:tr w:rsidR="00903C3A" w:rsidRPr="00746F54" w14:paraId="43E67EDD" w14:textId="77777777" w:rsidTr="00D62922">
        <w:tc>
          <w:tcPr>
            <w:tcW w:w="2087" w:type="dxa"/>
          </w:tcPr>
          <w:p w14:paraId="037087CE"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2425" w:type="dxa"/>
          </w:tcPr>
          <w:p w14:paraId="0F16A376" w14:textId="77777777" w:rsidR="00903C3A" w:rsidRPr="00746F54" w:rsidRDefault="00903C3A" w:rsidP="00D62922">
            <w:pPr>
              <w:rPr>
                <w:rFonts w:ascii="Arial" w:eastAsia="Calibri" w:hAnsi="Arial" w:cs="Arial"/>
              </w:rPr>
            </w:pPr>
            <w:r w:rsidRPr="00746F54">
              <w:rPr>
                <w:rFonts w:ascii="Arial" w:eastAsia="Calibri" w:hAnsi="Arial" w:cs="Arial"/>
              </w:rPr>
              <w:t>$14,242,500</w:t>
            </w:r>
          </w:p>
        </w:tc>
        <w:tc>
          <w:tcPr>
            <w:tcW w:w="2413" w:type="dxa"/>
          </w:tcPr>
          <w:p w14:paraId="72898D20" w14:textId="77777777" w:rsidR="00903C3A" w:rsidRPr="00746F54" w:rsidRDefault="00903C3A" w:rsidP="00D62922">
            <w:pPr>
              <w:rPr>
                <w:rFonts w:ascii="Arial" w:eastAsia="Calibri" w:hAnsi="Arial" w:cs="Arial"/>
              </w:rPr>
            </w:pPr>
            <w:r w:rsidRPr="00746F54">
              <w:rPr>
                <w:rFonts w:ascii="Arial" w:eastAsia="Calibri" w:hAnsi="Arial" w:cs="Arial"/>
              </w:rPr>
              <w:t>$158,250,000</w:t>
            </w:r>
          </w:p>
        </w:tc>
        <w:tc>
          <w:tcPr>
            <w:tcW w:w="2425" w:type="dxa"/>
          </w:tcPr>
          <w:p w14:paraId="21F80BB9" w14:textId="77777777" w:rsidR="00903C3A" w:rsidRPr="00746F54" w:rsidRDefault="00903C3A" w:rsidP="00D62922">
            <w:pPr>
              <w:rPr>
                <w:rFonts w:ascii="Arial" w:eastAsia="Calibri" w:hAnsi="Arial" w:cs="Arial"/>
              </w:rPr>
            </w:pPr>
            <w:r w:rsidRPr="00746F54">
              <w:rPr>
                <w:rFonts w:ascii="Arial" w:eastAsia="Calibri" w:hAnsi="Arial" w:cs="Arial"/>
              </w:rPr>
              <w:t>9.0%</w:t>
            </w:r>
          </w:p>
        </w:tc>
      </w:tr>
      <w:tr w:rsidR="00903C3A" w:rsidRPr="00746F54" w14:paraId="653D7BF4" w14:textId="77777777" w:rsidTr="00D62922">
        <w:tc>
          <w:tcPr>
            <w:tcW w:w="2087" w:type="dxa"/>
          </w:tcPr>
          <w:p w14:paraId="7C9DC923"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2425" w:type="dxa"/>
          </w:tcPr>
          <w:p w14:paraId="4C3A3049" w14:textId="77777777" w:rsidR="00903C3A" w:rsidRPr="00746F54" w:rsidRDefault="00903C3A" w:rsidP="00D62922">
            <w:pPr>
              <w:rPr>
                <w:rFonts w:ascii="Arial" w:eastAsia="Calibri" w:hAnsi="Arial" w:cs="Arial"/>
              </w:rPr>
            </w:pPr>
            <w:r w:rsidRPr="00746F54">
              <w:rPr>
                <w:rFonts w:ascii="Arial" w:eastAsia="Calibri" w:hAnsi="Arial" w:cs="Arial"/>
              </w:rPr>
              <w:t>$3,600,000</w:t>
            </w:r>
          </w:p>
        </w:tc>
        <w:tc>
          <w:tcPr>
            <w:tcW w:w="2413" w:type="dxa"/>
          </w:tcPr>
          <w:p w14:paraId="6F5B4200" w14:textId="77777777" w:rsidR="00903C3A" w:rsidRPr="00746F54" w:rsidRDefault="00903C3A" w:rsidP="00D62922">
            <w:pPr>
              <w:rPr>
                <w:rFonts w:ascii="Arial" w:eastAsia="Calibri" w:hAnsi="Arial" w:cs="Arial"/>
              </w:rPr>
            </w:pPr>
            <w:r w:rsidRPr="00746F54">
              <w:rPr>
                <w:rFonts w:ascii="Arial" w:eastAsia="Calibri" w:hAnsi="Arial" w:cs="Arial"/>
              </w:rPr>
              <w:t>$125,000,000</w:t>
            </w:r>
          </w:p>
        </w:tc>
        <w:tc>
          <w:tcPr>
            <w:tcW w:w="2425" w:type="dxa"/>
          </w:tcPr>
          <w:p w14:paraId="1AFFDFE8" w14:textId="77777777" w:rsidR="00903C3A" w:rsidRPr="00746F54" w:rsidRDefault="00903C3A" w:rsidP="00D62922">
            <w:pPr>
              <w:rPr>
                <w:rFonts w:ascii="Arial" w:eastAsia="Calibri" w:hAnsi="Arial" w:cs="Arial"/>
              </w:rPr>
            </w:pPr>
            <w:r w:rsidRPr="00746F54">
              <w:rPr>
                <w:rFonts w:ascii="Arial" w:eastAsia="Calibri" w:hAnsi="Arial" w:cs="Arial"/>
              </w:rPr>
              <w:t>2.88%</w:t>
            </w:r>
          </w:p>
        </w:tc>
      </w:tr>
      <w:tr w:rsidR="00903C3A" w:rsidRPr="00746F54" w14:paraId="79229946" w14:textId="77777777" w:rsidTr="00D62922">
        <w:tc>
          <w:tcPr>
            <w:tcW w:w="2087" w:type="dxa"/>
          </w:tcPr>
          <w:p w14:paraId="02C93415"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2425" w:type="dxa"/>
          </w:tcPr>
          <w:p w14:paraId="7BDFC771" w14:textId="77777777" w:rsidR="00903C3A" w:rsidRPr="00746F54" w:rsidRDefault="00903C3A" w:rsidP="00D62922">
            <w:pPr>
              <w:rPr>
                <w:rFonts w:ascii="Arial" w:eastAsia="Calibri" w:hAnsi="Arial" w:cs="Arial"/>
              </w:rPr>
            </w:pPr>
            <w:r w:rsidRPr="00746F54">
              <w:rPr>
                <w:rFonts w:ascii="Arial" w:eastAsia="Calibri" w:hAnsi="Arial" w:cs="Arial"/>
              </w:rPr>
              <w:t>$4,750,000</w:t>
            </w:r>
          </w:p>
        </w:tc>
        <w:tc>
          <w:tcPr>
            <w:tcW w:w="2413" w:type="dxa"/>
          </w:tcPr>
          <w:p w14:paraId="52F334A3" w14:textId="77777777" w:rsidR="00903C3A" w:rsidRPr="00746F54" w:rsidRDefault="00903C3A" w:rsidP="00D62922">
            <w:pPr>
              <w:rPr>
                <w:rFonts w:ascii="Arial" w:eastAsia="Calibri" w:hAnsi="Arial" w:cs="Arial"/>
              </w:rPr>
            </w:pPr>
            <w:r w:rsidRPr="00746F54">
              <w:rPr>
                <w:rFonts w:ascii="Arial" w:eastAsia="Calibri" w:hAnsi="Arial" w:cs="Arial"/>
              </w:rPr>
              <w:t>$218,500,000</w:t>
            </w:r>
          </w:p>
        </w:tc>
        <w:tc>
          <w:tcPr>
            <w:tcW w:w="2425" w:type="dxa"/>
          </w:tcPr>
          <w:p w14:paraId="57372210" w14:textId="77777777" w:rsidR="00903C3A" w:rsidRPr="00746F54" w:rsidRDefault="00903C3A" w:rsidP="00D62922">
            <w:pPr>
              <w:rPr>
                <w:rFonts w:ascii="Arial" w:eastAsia="Calibri" w:hAnsi="Arial" w:cs="Arial"/>
              </w:rPr>
            </w:pPr>
            <w:r w:rsidRPr="00746F54">
              <w:rPr>
                <w:rFonts w:ascii="Arial" w:eastAsia="Calibri" w:hAnsi="Arial" w:cs="Arial"/>
              </w:rPr>
              <w:t>2.17%</w:t>
            </w:r>
          </w:p>
        </w:tc>
      </w:tr>
      <w:tr w:rsidR="00903C3A" w:rsidRPr="00746F54" w14:paraId="5B09DA48" w14:textId="77777777" w:rsidTr="00D62922">
        <w:tc>
          <w:tcPr>
            <w:tcW w:w="2087" w:type="dxa"/>
          </w:tcPr>
          <w:p w14:paraId="3F5F0DFD"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2425" w:type="dxa"/>
          </w:tcPr>
          <w:p w14:paraId="3CA86A9E" w14:textId="77777777" w:rsidR="00903C3A" w:rsidRPr="00746F54" w:rsidRDefault="00903C3A" w:rsidP="00D62922">
            <w:pPr>
              <w:rPr>
                <w:rFonts w:ascii="Arial" w:eastAsia="Calibri" w:hAnsi="Arial" w:cs="Arial"/>
              </w:rPr>
            </w:pPr>
            <w:r w:rsidRPr="00746F54">
              <w:rPr>
                <w:rFonts w:ascii="Arial" w:eastAsia="Calibri" w:hAnsi="Arial" w:cs="Arial"/>
              </w:rPr>
              <w:t>$30,700,000</w:t>
            </w:r>
          </w:p>
        </w:tc>
        <w:tc>
          <w:tcPr>
            <w:tcW w:w="2413" w:type="dxa"/>
          </w:tcPr>
          <w:p w14:paraId="240F02B9" w14:textId="77777777" w:rsidR="00903C3A" w:rsidRPr="00746F54" w:rsidRDefault="00903C3A" w:rsidP="00D62922">
            <w:pPr>
              <w:rPr>
                <w:rFonts w:ascii="Arial" w:eastAsia="Calibri" w:hAnsi="Arial" w:cs="Arial"/>
              </w:rPr>
            </w:pPr>
            <w:r w:rsidRPr="00746F54">
              <w:rPr>
                <w:rFonts w:ascii="Arial" w:eastAsia="Calibri" w:hAnsi="Arial" w:cs="Arial"/>
              </w:rPr>
              <w:t>$585,350,000</w:t>
            </w:r>
          </w:p>
        </w:tc>
        <w:tc>
          <w:tcPr>
            <w:tcW w:w="2425" w:type="dxa"/>
          </w:tcPr>
          <w:p w14:paraId="6EE82615" w14:textId="77777777" w:rsidR="00903C3A" w:rsidRPr="00746F54" w:rsidRDefault="00903C3A" w:rsidP="00D62922">
            <w:pPr>
              <w:rPr>
                <w:rFonts w:ascii="Arial" w:eastAsia="Calibri" w:hAnsi="Arial" w:cs="Arial"/>
              </w:rPr>
            </w:pPr>
            <w:r w:rsidRPr="00746F54">
              <w:rPr>
                <w:rFonts w:ascii="Arial" w:eastAsia="Calibri" w:hAnsi="Arial" w:cs="Arial"/>
              </w:rPr>
              <w:t>2.49%</w:t>
            </w:r>
          </w:p>
        </w:tc>
      </w:tr>
    </w:tbl>
    <w:p w14:paraId="2407D04E" w14:textId="77777777" w:rsidR="00903C3A" w:rsidRPr="00746F54" w:rsidRDefault="00903C3A" w:rsidP="00903C3A">
      <w:pPr>
        <w:rPr>
          <w:rFonts w:ascii="Arial" w:eastAsia="Calibri" w:hAnsi="Arial" w:cs="Arial"/>
        </w:rPr>
      </w:pPr>
    </w:p>
    <w:p w14:paraId="5ACEF323" w14:textId="77777777" w:rsidR="00903C3A" w:rsidRPr="00746F54" w:rsidRDefault="00903C3A" w:rsidP="00903C3A">
      <w:pPr>
        <w:spacing w:after="0"/>
        <w:rPr>
          <w:rFonts w:ascii="Arial" w:eastAsia="Calibri" w:hAnsi="Arial" w:cs="Arial"/>
        </w:rPr>
      </w:pPr>
      <w:r w:rsidRPr="00746F54">
        <w:rPr>
          <w:rFonts w:ascii="Arial" w:eastAsia="Calibri" w:hAnsi="Arial" w:cs="Arial"/>
        </w:rPr>
        <w:t xml:space="preserve">Assume that starting with year 2027, BAA 3 has a new network upgrade eligible for recovery through component 2 of the EDAM access charge.  Assume the total approved amount for recovery for the upgrade is $11,000,000.  BAA 3 would multiply this cost by its component 2 ratio to derive the upper limit of the new eligible network upgrades EDAM recoverable costs.  </w:t>
      </w:r>
    </w:p>
    <w:p w14:paraId="50526566" w14:textId="77777777" w:rsidR="00903C3A" w:rsidRPr="00746F54" w:rsidRDefault="00903C3A" w:rsidP="00903C3A">
      <w:pPr>
        <w:spacing w:after="0" w:line="240" w:lineRule="auto"/>
        <w:rPr>
          <w:rFonts w:ascii="Arial" w:eastAsia="Calibri" w:hAnsi="Arial" w:cs="Arial"/>
        </w:rPr>
      </w:pPr>
    </w:p>
    <w:p w14:paraId="0408D22D" w14:textId="77777777" w:rsidR="00903C3A" w:rsidRPr="00746F54" w:rsidRDefault="00903C3A" w:rsidP="00903C3A">
      <w:pPr>
        <w:keepNext/>
        <w:keepLines/>
        <w:spacing w:after="0" w:line="240" w:lineRule="auto"/>
        <w:jc w:val="center"/>
        <w:rPr>
          <w:rFonts w:ascii="Arial" w:eastAsia="Calibri" w:hAnsi="Arial" w:cs="Arial"/>
          <w:b/>
        </w:rPr>
      </w:pPr>
      <w:r w:rsidRPr="00746F54">
        <w:rPr>
          <w:rFonts w:ascii="Arial" w:eastAsia="Calibri" w:hAnsi="Arial" w:cs="Arial"/>
          <w:b/>
        </w:rPr>
        <w:t xml:space="preserve">Table 4: Computation of Component 2 for BAA 3  </w:t>
      </w:r>
    </w:p>
    <w:p w14:paraId="6173ACD6" w14:textId="77777777" w:rsidR="00903C3A" w:rsidRPr="00746F54" w:rsidRDefault="00903C3A" w:rsidP="00903C3A">
      <w:pPr>
        <w:keepNext/>
        <w:keepLines/>
        <w:spacing w:after="0" w:line="240" w:lineRule="auto"/>
        <w:jc w:val="center"/>
        <w:rPr>
          <w:rFonts w:ascii="Arial" w:eastAsia="Calibri" w:hAnsi="Arial" w:cs="Arial"/>
          <w:b/>
        </w:rPr>
      </w:pPr>
    </w:p>
    <w:tbl>
      <w:tblPr>
        <w:tblStyle w:val="TableGrid1"/>
        <w:tblW w:w="0" w:type="auto"/>
        <w:tblLook w:val="04A0" w:firstRow="1" w:lastRow="0" w:firstColumn="1" w:lastColumn="0" w:noHBand="0" w:noVBand="1"/>
      </w:tblPr>
      <w:tblGrid>
        <w:gridCol w:w="1451"/>
        <w:gridCol w:w="1856"/>
        <w:gridCol w:w="1914"/>
        <w:gridCol w:w="2098"/>
        <w:gridCol w:w="2031"/>
      </w:tblGrid>
      <w:tr w:rsidR="00903C3A" w:rsidRPr="00746F54" w14:paraId="6DA0F071" w14:textId="77777777" w:rsidTr="00D62922">
        <w:tc>
          <w:tcPr>
            <w:tcW w:w="1432" w:type="dxa"/>
          </w:tcPr>
          <w:p w14:paraId="2DBA793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EDAM Entity transmission provider</w:t>
            </w:r>
          </w:p>
        </w:tc>
        <w:tc>
          <w:tcPr>
            <w:tcW w:w="1859" w:type="dxa"/>
          </w:tcPr>
          <w:p w14:paraId="65C8126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New eligible network upgrade cost (part of annual revenue requirement)</w:t>
            </w:r>
          </w:p>
          <w:p w14:paraId="4777162B"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(a)</w:t>
            </w:r>
          </w:p>
        </w:tc>
        <w:tc>
          <w:tcPr>
            <w:tcW w:w="1920" w:type="dxa"/>
          </w:tcPr>
          <w:p w14:paraId="3E9A4929"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Ratio (%) of short-term revenues for new network upgrades</w:t>
            </w:r>
          </w:p>
          <w:p w14:paraId="3FF5860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w:t>
            </w:r>
          </w:p>
        </w:tc>
        <w:tc>
          <w:tcPr>
            <w:tcW w:w="2103" w:type="dxa"/>
          </w:tcPr>
          <w:p w14:paraId="4924B0F6"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Component 2:  New eligible  network upgrades EDAM recoverable costs limit</w:t>
            </w:r>
          </w:p>
          <w:p w14:paraId="1FA59A19"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(c) = (a) * (b)  </w:t>
            </w:r>
          </w:p>
          <w:p w14:paraId="2F15648F" w14:textId="77777777" w:rsidR="00903C3A" w:rsidRPr="00746F54" w:rsidRDefault="00903C3A" w:rsidP="00D62922">
            <w:pPr>
              <w:keepNext/>
              <w:keepLines/>
              <w:jc w:val="center"/>
              <w:rPr>
                <w:rFonts w:ascii="Arial" w:eastAsia="Calibri" w:hAnsi="Arial" w:cs="Arial"/>
              </w:rPr>
            </w:pPr>
          </w:p>
        </w:tc>
        <w:tc>
          <w:tcPr>
            <w:tcW w:w="2036" w:type="dxa"/>
          </w:tcPr>
          <w:p w14:paraId="62BF939F" w14:textId="2C610C02"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Component 2:  Estimate of EDAM recoverable amount for new </w:t>
            </w:r>
            <w:r w:rsidR="00C95132" w:rsidRPr="00746F54">
              <w:rPr>
                <w:rFonts w:ascii="Arial" w:eastAsia="Calibri" w:hAnsi="Arial" w:cs="Arial"/>
              </w:rPr>
              <w:t>eligible network</w:t>
            </w:r>
            <w:r w:rsidRPr="00746F54">
              <w:rPr>
                <w:rFonts w:ascii="Arial" w:eastAsia="Calibri" w:hAnsi="Arial" w:cs="Arial"/>
              </w:rPr>
              <w:t xml:space="preserve"> upgrades for 2027</w:t>
            </w:r>
          </w:p>
          <w:p w14:paraId="6A8F1426"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(d) </w:t>
            </w:r>
          </w:p>
          <w:p w14:paraId="0E04EA65" w14:textId="77777777" w:rsidR="00903C3A" w:rsidRPr="00746F54" w:rsidRDefault="00903C3A" w:rsidP="00D62922">
            <w:pPr>
              <w:keepNext/>
              <w:keepLines/>
              <w:jc w:val="center"/>
              <w:rPr>
                <w:rFonts w:ascii="Arial" w:eastAsia="Calibri" w:hAnsi="Arial" w:cs="Arial"/>
              </w:rPr>
            </w:pPr>
          </w:p>
        </w:tc>
      </w:tr>
      <w:tr w:rsidR="00903C3A" w:rsidRPr="00746F54" w14:paraId="7609D518" w14:textId="77777777" w:rsidTr="00D62922">
        <w:tc>
          <w:tcPr>
            <w:tcW w:w="1432" w:type="dxa"/>
          </w:tcPr>
          <w:p w14:paraId="52351164"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1859" w:type="dxa"/>
          </w:tcPr>
          <w:p w14:paraId="58E90A5C" w14:textId="77777777" w:rsidR="00903C3A" w:rsidRPr="00746F54" w:rsidRDefault="00903C3A" w:rsidP="00D62922">
            <w:pPr>
              <w:keepNext/>
              <w:keepLines/>
              <w:rPr>
                <w:rFonts w:ascii="Arial" w:eastAsia="Calibri" w:hAnsi="Arial" w:cs="Arial"/>
              </w:rPr>
            </w:pPr>
            <w:r w:rsidRPr="00746F54">
              <w:rPr>
                <w:rFonts w:ascii="Arial" w:eastAsia="Calibri" w:hAnsi="Arial" w:cs="Arial"/>
              </w:rPr>
              <w:t>$11,000,000</w:t>
            </w:r>
          </w:p>
        </w:tc>
        <w:tc>
          <w:tcPr>
            <w:tcW w:w="1920" w:type="dxa"/>
          </w:tcPr>
          <w:p w14:paraId="7F3F4DE0" w14:textId="77777777" w:rsidR="00903C3A" w:rsidRPr="00746F54" w:rsidRDefault="00903C3A" w:rsidP="00D62922">
            <w:pPr>
              <w:keepNext/>
              <w:keepLines/>
              <w:rPr>
                <w:rFonts w:ascii="Arial" w:eastAsia="Calibri" w:hAnsi="Arial" w:cs="Arial"/>
              </w:rPr>
            </w:pPr>
            <w:r w:rsidRPr="00746F54">
              <w:rPr>
                <w:rFonts w:ascii="Arial" w:eastAsia="Calibri" w:hAnsi="Arial" w:cs="Arial"/>
              </w:rPr>
              <w:t>2.17%</w:t>
            </w:r>
          </w:p>
        </w:tc>
        <w:tc>
          <w:tcPr>
            <w:tcW w:w="2103" w:type="dxa"/>
          </w:tcPr>
          <w:p w14:paraId="3A9B7E24" w14:textId="77777777" w:rsidR="00903C3A" w:rsidRPr="00746F54" w:rsidRDefault="00903C3A" w:rsidP="00D62922">
            <w:pPr>
              <w:keepNext/>
              <w:keepLines/>
              <w:rPr>
                <w:rFonts w:ascii="Arial" w:eastAsia="Calibri" w:hAnsi="Arial" w:cs="Arial"/>
              </w:rPr>
            </w:pPr>
            <w:r w:rsidRPr="00746F54">
              <w:rPr>
                <w:rFonts w:ascii="Arial" w:eastAsia="Calibri" w:hAnsi="Arial" w:cs="Arial"/>
              </w:rPr>
              <w:t>$238,700</w:t>
            </w:r>
          </w:p>
        </w:tc>
        <w:tc>
          <w:tcPr>
            <w:tcW w:w="2036" w:type="dxa"/>
          </w:tcPr>
          <w:p w14:paraId="7A42F6F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$59,000</w:t>
            </w:r>
          </w:p>
        </w:tc>
      </w:tr>
    </w:tbl>
    <w:p w14:paraId="7240F8B8" w14:textId="77777777" w:rsidR="00903C3A" w:rsidRPr="00746F54" w:rsidRDefault="00903C3A" w:rsidP="00903C3A">
      <w:pPr>
        <w:spacing w:after="0" w:line="240" w:lineRule="auto"/>
        <w:rPr>
          <w:rFonts w:ascii="Arial" w:eastAsia="Calibri" w:hAnsi="Arial" w:cs="Arial"/>
        </w:rPr>
      </w:pPr>
    </w:p>
    <w:p w14:paraId="4192A68D" w14:textId="77777777" w:rsidR="00903C3A" w:rsidRPr="00746F54" w:rsidRDefault="00903C3A" w:rsidP="00903C3A">
      <w:pPr>
        <w:rPr>
          <w:rFonts w:ascii="Arial" w:eastAsia="Calibri" w:hAnsi="Arial" w:cs="Arial"/>
        </w:rPr>
      </w:pPr>
      <w:r w:rsidRPr="00746F54">
        <w:rPr>
          <w:rFonts w:ascii="Arial" w:eastAsia="Calibri" w:hAnsi="Arial" w:cs="Arial"/>
        </w:rPr>
        <w:t xml:space="preserve">Component 3 of the EDAM access charge accounts for benefits to EDAM from transmission used for wheeling-throughs </w:t>
      </w:r>
      <w:r w:rsidRPr="00746F54">
        <w:rPr>
          <w:rFonts w:ascii="Arial" w:eastAsia="Calibri" w:hAnsi="Arial" w:cs="Arial"/>
          <w:bCs/>
        </w:rPr>
        <w:t xml:space="preserve">in an EDAM BAA greater than its imports and exports.  In this example, the excess </w:t>
      </w:r>
      <w:proofErr w:type="gramStart"/>
      <w:r w:rsidRPr="00746F54">
        <w:rPr>
          <w:rFonts w:ascii="Arial" w:eastAsia="Calibri" w:hAnsi="Arial" w:cs="Arial"/>
          <w:bCs/>
        </w:rPr>
        <w:t>wheeling</w:t>
      </w:r>
      <w:proofErr w:type="gramEnd"/>
      <w:r w:rsidRPr="00746F54">
        <w:rPr>
          <w:rFonts w:ascii="Arial" w:eastAsia="Calibri" w:hAnsi="Arial" w:cs="Arial"/>
          <w:bCs/>
        </w:rPr>
        <w:t xml:space="preserve">-through transfer is calculated for the relevant trade year (2026) </w:t>
      </w:r>
      <w:r w:rsidRPr="00746F54">
        <w:rPr>
          <w:rFonts w:ascii="Arial" w:eastAsia="Calibri" w:hAnsi="Arial" w:cs="Arial"/>
          <w:bCs/>
        </w:rPr>
        <w:lastRenderedPageBreak/>
        <w:t>and added as a recoverable cost for the following trade year (2027) for the BAA with the transmission facilitating the wheeling-throughs.  As illustrated in Table 5, assume BAA 1 has 10,000 MWh in wheeling-through transfers above its total import and export transfers, and a non-firm hourly point-to-point transmission rate of $5/MWh</w:t>
      </w:r>
      <w:r w:rsidRPr="00746F54">
        <w:rPr>
          <w:rFonts w:ascii="Arial" w:eastAsia="Calibri" w:hAnsi="Arial" w:cs="Arial"/>
        </w:rPr>
        <w:t>.</w:t>
      </w:r>
    </w:p>
    <w:p w14:paraId="320C44DE" w14:textId="77777777" w:rsidR="00903C3A" w:rsidRPr="00746F54" w:rsidRDefault="00903C3A" w:rsidP="00903C3A">
      <w:pPr>
        <w:keepNext/>
        <w:keepLines/>
        <w:jc w:val="center"/>
        <w:rPr>
          <w:rFonts w:ascii="Arial" w:eastAsia="Calibri" w:hAnsi="Arial" w:cs="Arial"/>
        </w:rPr>
      </w:pPr>
      <w:r w:rsidRPr="00746F54">
        <w:rPr>
          <w:rFonts w:ascii="Arial" w:eastAsia="Calibri" w:hAnsi="Arial" w:cs="Arial"/>
          <w:b/>
        </w:rPr>
        <w:t>Table 5: Computation of Component 3</w:t>
      </w:r>
    </w:p>
    <w:tbl>
      <w:tblPr>
        <w:tblStyle w:val="TableGrid1"/>
        <w:tblW w:w="0" w:type="auto"/>
        <w:tblLook w:val="04A0" w:firstRow="1" w:lastRow="0" w:firstColumn="1" w:lastColumn="0" w:noHBand="0" w:noVBand="1"/>
      </w:tblPr>
      <w:tblGrid>
        <w:gridCol w:w="1901"/>
        <w:gridCol w:w="2551"/>
        <w:gridCol w:w="1962"/>
        <w:gridCol w:w="2936"/>
      </w:tblGrid>
      <w:tr w:rsidR="00903C3A" w:rsidRPr="00746F54" w14:paraId="1AE4B60F" w14:textId="77777777" w:rsidTr="00D62922">
        <w:tc>
          <w:tcPr>
            <w:tcW w:w="1901" w:type="dxa"/>
          </w:tcPr>
          <w:p w14:paraId="1BBAC3BB"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2551" w:type="dxa"/>
          </w:tcPr>
          <w:p w14:paraId="66F3908F" w14:textId="77777777" w:rsidR="00903C3A" w:rsidRPr="00746F54" w:rsidRDefault="00903C3A" w:rsidP="00D62922">
            <w:pPr>
              <w:keepNext/>
              <w:keepLines/>
              <w:rPr>
                <w:rFonts w:ascii="Arial" w:eastAsia="Calibri" w:hAnsi="Arial" w:cs="Arial"/>
              </w:rPr>
            </w:pPr>
            <w:r w:rsidRPr="00746F54">
              <w:rPr>
                <w:rFonts w:ascii="Arial" w:eastAsia="Calibri" w:hAnsi="Arial" w:cs="Arial"/>
              </w:rPr>
              <w:t xml:space="preserve">Net incremental wheeling- through transfer volumes (2026) </w:t>
            </w:r>
          </w:p>
        </w:tc>
        <w:tc>
          <w:tcPr>
            <w:tcW w:w="1962" w:type="dxa"/>
          </w:tcPr>
          <w:p w14:paraId="28FD9D8F" w14:textId="77777777" w:rsidR="00903C3A" w:rsidRPr="00746F54" w:rsidRDefault="00903C3A" w:rsidP="00D62922">
            <w:pPr>
              <w:keepNext/>
              <w:keepLines/>
              <w:rPr>
                <w:rFonts w:ascii="Arial" w:eastAsia="Calibri" w:hAnsi="Arial" w:cs="Arial"/>
              </w:rPr>
            </w:pPr>
            <w:r w:rsidRPr="00746F54">
              <w:rPr>
                <w:rFonts w:ascii="Arial" w:eastAsia="Calibri" w:hAnsi="Arial" w:cs="Arial"/>
              </w:rPr>
              <w:t>Non-firm hourly point-to-point rate</w:t>
            </w:r>
          </w:p>
        </w:tc>
        <w:tc>
          <w:tcPr>
            <w:tcW w:w="2936" w:type="dxa"/>
          </w:tcPr>
          <w:p w14:paraId="24924819" w14:textId="77777777" w:rsidR="00903C3A" w:rsidRPr="00746F54" w:rsidRDefault="00903C3A" w:rsidP="00D62922">
            <w:pPr>
              <w:keepNext/>
              <w:keepLines/>
              <w:rPr>
                <w:rFonts w:ascii="Arial" w:eastAsia="Calibri" w:hAnsi="Arial" w:cs="Arial"/>
              </w:rPr>
            </w:pPr>
            <w:r w:rsidRPr="00746F54">
              <w:rPr>
                <w:rFonts w:ascii="Arial" w:eastAsia="Calibri" w:hAnsi="Arial" w:cs="Arial"/>
              </w:rPr>
              <w:t>Compensation at the hourly non-firm OATT rate</w:t>
            </w:r>
            <w:r w:rsidRPr="00746F54">
              <w:rPr>
                <w:rFonts w:ascii="Arial" w:eastAsia="Calibri" w:hAnsi="Arial" w:cs="Arial"/>
                <w:vertAlign w:val="superscript"/>
              </w:rPr>
              <w:footnoteReference w:id="4"/>
            </w:r>
            <w:r w:rsidRPr="00746F54">
              <w:rPr>
                <w:rFonts w:ascii="Arial" w:eastAsia="Calibri" w:hAnsi="Arial" w:cs="Arial"/>
              </w:rPr>
              <w:t xml:space="preserve"> (recovered in 2027)</w:t>
            </w:r>
          </w:p>
        </w:tc>
      </w:tr>
      <w:tr w:rsidR="00903C3A" w:rsidRPr="00746F54" w14:paraId="4B4ED9ED" w14:textId="77777777" w:rsidTr="00D62922">
        <w:tc>
          <w:tcPr>
            <w:tcW w:w="1901" w:type="dxa"/>
          </w:tcPr>
          <w:p w14:paraId="53292228"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w:t>
            </w:r>
          </w:p>
        </w:tc>
        <w:tc>
          <w:tcPr>
            <w:tcW w:w="2551" w:type="dxa"/>
          </w:tcPr>
          <w:p w14:paraId="6C104806" w14:textId="77777777" w:rsidR="00903C3A" w:rsidRPr="00746F54" w:rsidRDefault="00903C3A" w:rsidP="00D62922">
            <w:pPr>
              <w:keepNext/>
              <w:keepLines/>
              <w:rPr>
                <w:rFonts w:ascii="Arial" w:eastAsia="Calibri" w:hAnsi="Arial" w:cs="Arial"/>
              </w:rPr>
            </w:pPr>
            <w:r w:rsidRPr="00746F54">
              <w:rPr>
                <w:rFonts w:ascii="Arial" w:eastAsia="Calibri" w:hAnsi="Arial" w:cs="Arial"/>
              </w:rPr>
              <w:t>10,000 MWh</w:t>
            </w:r>
          </w:p>
        </w:tc>
        <w:tc>
          <w:tcPr>
            <w:tcW w:w="1962" w:type="dxa"/>
          </w:tcPr>
          <w:p w14:paraId="47A7F2CF" w14:textId="77777777" w:rsidR="00903C3A" w:rsidRPr="00746F54" w:rsidRDefault="00903C3A" w:rsidP="00D62922">
            <w:pPr>
              <w:keepNext/>
              <w:keepLines/>
              <w:rPr>
                <w:rFonts w:ascii="Arial" w:eastAsia="Calibri" w:hAnsi="Arial" w:cs="Arial"/>
              </w:rPr>
            </w:pPr>
            <w:r w:rsidRPr="00746F54">
              <w:rPr>
                <w:rFonts w:ascii="Arial" w:eastAsia="Calibri" w:hAnsi="Arial" w:cs="Arial"/>
              </w:rPr>
              <w:t>$5/MWh</w:t>
            </w:r>
          </w:p>
        </w:tc>
        <w:tc>
          <w:tcPr>
            <w:tcW w:w="2936" w:type="dxa"/>
          </w:tcPr>
          <w:p w14:paraId="111AC6F2" w14:textId="77777777" w:rsidR="00903C3A" w:rsidRPr="00746F54" w:rsidRDefault="00903C3A" w:rsidP="00D62922">
            <w:pPr>
              <w:keepNext/>
              <w:keepLines/>
              <w:rPr>
                <w:rFonts w:ascii="Arial" w:eastAsia="Calibri" w:hAnsi="Arial" w:cs="Arial"/>
              </w:rPr>
            </w:pPr>
            <w:r w:rsidRPr="00746F54">
              <w:rPr>
                <w:rFonts w:ascii="Arial" w:eastAsia="Calibri" w:hAnsi="Arial" w:cs="Arial"/>
              </w:rPr>
              <w:t>$50,000</w:t>
            </w:r>
          </w:p>
        </w:tc>
      </w:tr>
      <w:tr w:rsidR="00903C3A" w:rsidRPr="00746F54" w14:paraId="0EB5C5E7" w14:textId="77777777" w:rsidTr="00D62922">
        <w:tc>
          <w:tcPr>
            <w:tcW w:w="1901" w:type="dxa"/>
          </w:tcPr>
          <w:p w14:paraId="2B0B32CA"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w:t>
            </w:r>
          </w:p>
        </w:tc>
        <w:tc>
          <w:tcPr>
            <w:tcW w:w="2551" w:type="dxa"/>
          </w:tcPr>
          <w:p w14:paraId="67A8331E"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962" w:type="dxa"/>
          </w:tcPr>
          <w:p w14:paraId="3ABDE788" w14:textId="77777777" w:rsidR="00903C3A" w:rsidRPr="00746F54" w:rsidDel="00867F22" w:rsidRDefault="00903C3A" w:rsidP="00D62922">
            <w:pPr>
              <w:keepNext/>
              <w:keepLines/>
              <w:rPr>
                <w:rFonts w:ascii="Arial" w:eastAsia="Calibri" w:hAnsi="Arial" w:cs="Arial"/>
              </w:rPr>
            </w:pPr>
          </w:p>
        </w:tc>
        <w:tc>
          <w:tcPr>
            <w:tcW w:w="2936" w:type="dxa"/>
          </w:tcPr>
          <w:p w14:paraId="226819E2"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r>
      <w:tr w:rsidR="00903C3A" w:rsidRPr="00746F54" w14:paraId="53B384CD" w14:textId="77777777" w:rsidTr="00D62922">
        <w:tc>
          <w:tcPr>
            <w:tcW w:w="1901" w:type="dxa"/>
          </w:tcPr>
          <w:p w14:paraId="6E75D760"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2551" w:type="dxa"/>
          </w:tcPr>
          <w:p w14:paraId="39D48160"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962" w:type="dxa"/>
          </w:tcPr>
          <w:p w14:paraId="28741153" w14:textId="77777777" w:rsidR="00903C3A" w:rsidRPr="00746F54" w:rsidDel="00867F22" w:rsidRDefault="00903C3A" w:rsidP="00D62922">
            <w:pPr>
              <w:keepNext/>
              <w:keepLines/>
              <w:rPr>
                <w:rFonts w:ascii="Arial" w:eastAsia="Calibri" w:hAnsi="Arial" w:cs="Arial"/>
              </w:rPr>
            </w:pPr>
          </w:p>
        </w:tc>
        <w:tc>
          <w:tcPr>
            <w:tcW w:w="2936" w:type="dxa"/>
          </w:tcPr>
          <w:p w14:paraId="07C961A4"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r>
      <w:tr w:rsidR="00903C3A" w:rsidRPr="00746F54" w14:paraId="530A1B07" w14:textId="77777777" w:rsidTr="00D62922">
        <w:tc>
          <w:tcPr>
            <w:tcW w:w="1901" w:type="dxa"/>
          </w:tcPr>
          <w:p w14:paraId="28FA9D77"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w:t>
            </w:r>
          </w:p>
        </w:tc>
        <w:tc>
          <w:tcPr>
            <w:tcW w:w="2551" w:type="dxa"/>
          </w:tcPr>
          <w:p w14:paraId="3177B4C6"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962" w:type="dxa"/>
          </w:tcPr>
          <w:p w14:paraId="585EE1E6" w14:textId="77777777" w:rsidR="00903C3A" w:rsidRPr="00746F54" w:rsidDel="00867F22" w:rsidRDefault="00903C3A" w:rsidP="00D62922">
            <w:pPr>
              <w:keepNext/>
              <w:keepLines/>
              <w:rPr>
                <w:rFonts w:ascii="Arial" w:eastAsia="Calibri" w:hAnsi="Arial" w:cs="Arial"/>
              </w:rPr>
            </w:pPr>
          </w:p>
        </w:tc>
        <w:tc>
          <w:tcPr>
            <w:tcW w:w="2936" w:type="dxa"/>
          </w:tcPr>
          <w:p w14:paraId="4B0D29D1"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r>
    </w:tbl>
    <w:p w14:paraId="45BBCF28" w14:textId="77777777" w:rsidR="00903C3A" w:rsidRPr="00746F54" w:rsidRDefault="00903C3A" w:rsidP="00903C3A">
      <w:pPr>
        <w:rPr>
          <w:rFonts w:ascii="Arial" w:eastAsia="Calibri" w:hAnsi="Arial" w:cs="Arial"/>
          <w:b/>
          <w:bCs/>
          <w:i/>
          <w:u w:val="single"/>
        </w:rPr>
      </w:pPr>
    </w:p>
    <w:p w14:paraId="510715C9" w14:textId="77777777" w:rsidR="00903C3A" w:rsidRPr="00746F54" w:rsidRDefault="00903C3A" w:rsidP="00903C3A">
      <w:pPr>
        <w:rPr>
          <w:rFonts w:ascii="Arial" w:eastAsia="Calibri" w:hAnsi="Arial" w:cs="Arial"/>
          <w:b/>
          <w:bCs/>
          <w:i/>
          <w:u w:val="single"/>
        </w:rPr>
      </w:pPr>
      <w:r w:rsidRPr="00746F54">
        <w:rPr>
          <w:rFonts w:ascii="Arial" w:eastAsia="Calibri" w:hAnsi="Arial" w:cs="Arial"/>
          <w:b/>
          <w:bCs/>
          <w:i/>
          <w:u w:val="single"/>
        </w:rPr>
        <w:t>EDAM Access Charge Assessment and Distribution</w:t>
      </w:r>
    </w:p>
    <w:p w14:paraId="17DB9B36" w14:textId="79D5CD88" w:rsidR="00903C3A" w:rsidRPr="00746F54" w:rsidRDefault="00903C3A" w:rsidP="00903C3A">
      <w:pPr>
        <w:rPr>
          <w:rFonts w:ascii="Arial" w:eastAsia="Calibri" w:hAnsi="Arial" w:cs="Arial"/>
          <w:bCs/>
        </w:rPr>
      </w:pPr>
      <w:r w:rsidRPr="00746F54">
        <w:rPr>
          <w:rFonts w:ascii="Arial" w:eastAsia="Calibri" w:hAnsi="Arial" w:cs="Arial"/>
          <w:bCs/>
        </w:rPr>
        <w:t xml:space="preserve">Using the sum of the components for each EDAM entity, the CAISO will compute a $/MWh rate specific to each EDAM BAA.  To form the numerator of the rate, the CAISO will divide each EDAM entity’s aggregate revenue to the EDAM BAAs associated with the other EDAM transmission entities by (a) the EDAM entity’s gross load divided by (b) the total EDAM area gross load minus the gross load of the EDAM entity. The BAA-specific EDAM access charge rate is then applied to the current </w:t>
      </w:r>
      <w:r w:rsidR="00C95132" w:rsidRPr="00746F54">
        <w:rPr>
          <w:rFonts w:ascii="Arial" w:eastAsia="Calibri" w:hAnsi="Arial" w:cs="Arial"/>
          <w:bCs/>
        </w:rPr>
        <w:t>year’s</w:t>
      </w:r>
      <w:r w:rsidRPr="00746F54">
        <w:rPr>
          <w:rFonts w:ascii="Arial" w:eastAsia="Calibri" w:hAnsi="Arial" w:cs="Arial"/>
          <w:bCs/>
        </w:rPr>
        <w:t xml:space="preserve"> actual gross load. </w:t>
      </w:r>
    </w:p>
    <w:p w14:paraId="5EDE1C44" w14:textId="77777777" w:rsidR="00903C3A" w:rsidRPr="00746F54" w:rsidRDefault="00903C3A" w:rsidP="00903C3A">
      <w:pPr>
        <w:rPr>
          <w:rFonts w:ascii="Arial" w:eastAsia="Calibri" w:hAnsi="Arial" w:cs="Arial"/>
          <w:bCs/>
        </w:rPr>
      </w:pPr>
      <w:r w:rsidRPr="00746F54">
        <w:rPr>
          <w:rFonts w:ascii="Arial" w:eastAsia="Calibri" w:hAnsi="Arial" w:cs="Arial"/>
          <w:bCs/>
        </w:rPr>
        <w:t>As a starting point, Table 6 illustrates the EDAM recoverable revenue that is recoverable through EDAM for 2026 where the only recoverable revenues were associated with component 1 (and reflected in Table 2).  Table 6 also identifies each BAA’s annual gross load.</w:t>
      </w:r>
    </w:p>
    <w:p w14:paraId="09EF38A5" w14:textId="77777777" w:rsidR="00903C3A" w:rsidRPr="00746F54" w:rsidRDefault="00903C3A" w:rsidP="00903C3A">
      <w:pPr>
        <w:jc w:val="center"/>
        <w:rPr>
          <w:rFonts w:ascii="Arial" w:eastAsia="Calibri" w:hAnsi="Arial" w:cs="Arial"/>
          <w:b/>
          <w:bCs/>
        </w:rPr>
      </w:pPr>
      <w:r w:rsidRPr="00746F54">
        <w:rPr>
          <w:rFonts w:ascii="Arial" w:eastAsia="Calibri" w:hAnsi="Arial" w:cs="Arial"/>
          <w:b/>
          <w:bCs/>
        </w:rPr>
        <w:t xml:space="preserve">Table 6: 2026 EDAM Recoverable Revenue and Gross Load </w:t>
      </w:r>
    </w:p>
    <w:tbl>
      <w:tblPr>
        <w:tblStyle w:val="TableGrid1"/>
        <w:tblW w:w="0" w:type="auto"/>
        <w:tblLook w:val="04A0" w:firstRow="1" w:lastRow="0" w:firstColumn="1" w:lastColumn="0" w:noHBand="0" w:noVBand="1"/>
      </w:tblPr>
      <w:tblGrid>
        <w:gridCol w:w="2713"/>
        <w:gridCol w:w="3152"/>
        <w:gridCol w:w="3348"/>
      </w:tblGrid>
      <w:tr w:rsidR="00903C3A" w:rsidRPr="00746F54" w14:paraId="54095182" w14:textId="77777777" w:rsidTr="00D62922">
        <w:trPr>
          <w:trHeight w:val="578"/>
        </w:trPr>
        <w:tc>
          <w:tcPr>
            <w:tcW w:w="2713" w:type="dxa"/>
          </w:tcPr>
          <w:p w14:paraId="395CC08C" w14:textId="77777777" w:rsidR="00903C3A" w:rsidRPr="00746F54" w:rsidRDefault="00903C3A" w:rsidP="00D62922">
            <w:pPr>
              <w:rPr>
                <w:rFonts w:ascii="Arial" w:eastAsia="Calibri" w:hAnsi="Arial" w:cs="Arial"/>
              </w:rPr>
            </w:pPr>
            <w:r w:rsidRPr="00746F54">
              <w:rPr>
                <w:rFonts w:ascii="Arial" w:eastAsia="Calibri" w:hAnsi="Arial" w:cs="Arial"/>
              </w:rPr>
              <w:t>EDAM Entity transmission provider</w:t>
            </w:r>
          </w:p>
        </w:tc>
        <w:tc>
          <w:tcPr>
            <w:tcW w:w="3152" w:type="dxa"/>
          </w:tcPr>
          <w:p w14:paraId="365393F3" w14:textId="77777777" w:rsidR="00903C3A" w:rsidRPr="00746F54" w:rsidRDefault="00903C3A" w:rsidP="00D62922">
            <w:pPr>
              <w:rPr>
                <w:rFonts w:ascii="Arial" w:eastAsia="Calibri" w:hAnsi="Arial" w:cs="Arial"/>
              </w:rPr>
            </w:pPr>
            <w:r w:rsidRPr="00746F54">
              <w:rPr>
                <w:rFonts w:ascii="Arial" w:eastAsia="Calibri" w:hAnsi="Arial" w:cs="Arial"/>
              </w:rPr>
              <w:t xml:space="preserve">EDAM recoverable revenue </w:t>
            </w:r>
          </w:p>
        </w:tc>
        <w:tc>
          <w:tcPr>
            <w:tcW w:w="3348" w:type="dxa"/>
          </w:tcPr>
          <w:p w14:paraId="3F5FA9FE" w14:textId="77777777" w:rsidR="00903C3A" w:rsidRPr="00746F54" w:rsidRDefault="00903C3A" w:rsidP="00D62922">
            <w:pPr>
              <w:rPr>
                <w:rFonts w:ascii="Arial" w:eastAsia="Calibri" w:hAnsi="Arial" w:cs="Arial"/>
              </w:rPr>
            </w:pPr>
            <w:r w:rsidRPr="00746F54">
              <w:rPr>
                <w:rFonts w:ascii="Arial" w:eastAsia="Calibri" w:hAnsi="Arial" w:cs="Arial"/>
              </w:rPr>
              <w:t>Gross load (MWh)</w:t>
            </w:r>
            <w:r w:rsidRPr="00746F54" w:rsidDel="00671F5C">
              <w:rPr>
                <w:rFonts w:ascii="Arial" w:eastAsia="Calibri" w:hAnsi="Arial" w:cs="Arial"/>
                <w:vertAlign w:val="superscript"/>
              </w:rPr>
              <w:t xml:space="preserve"> </w:t>
            </w:r>
          </w:p>
        </w:tc>
      </w:tr>
      <w:tr w:rsidR="00903C3A" w:rsidRPr="00746F54" w14:paraId="78FD7C2E" w14:textId="77777777" w:rsidTr="00D62922">
        <w:trPr>
          <w:trHeight w:val="190"/>
        </w:trPr>
        <w:tc>
          <w:tcPr>
            <w:tcW w:w="2713" w:type="dxa"/>
          </w:tcPr>
          <w:p w14:paraId="0488D913"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3152" w:type="dxa"/>
          </w:tcPr>
          <w:p w14:paraId="10FC5026" w14:textId="77777777" w:rsidR="00903C3A" w:rsidRPr="00746F54" w:rsidRDefault="00903C3A" w:rsidP="00D62922">
            <w:pPr>
              <w:rPr>
                <w:rFonts w:ascii="Arial" w:eastAsia="Calibri" w:hAnsi="Arial" w:cs="Arial"/>
              </w:rPr>
            </w:pPr>
            <w:r w:rsidRPr="00746F54">
              <w:rPr>
                <w:rFonts w:ascii="Arial" w:eastAsia="Calibri" w:hAnsi="Arial" w:cs="Arial"/>
              </w:rPr>
              <w:t>$7,121,250</w:t>
            </w:r>
          </w:p>
        </w:tc>
        <w:tc>
          <w:tcPr>
            <w:tcW w:w="3348" w:type="dxa"/>
          </w:tcPr>
          <w:p w14:paraId="3A9B75A8" w14:textId="77777777" w:rsidR="00903C3A" w:rsidRPr="00746F54" w:rsidRDefault="00903C3A" w:rsidP="00D62922">
            <w:pPr>
              <w:rPr>
                <w:rFonts w:ascii="Arial" w:eastAsia="Calibri" w:hAnsi="Arial" w:cs="Arial"/>
              </w:rPr>
            </w:pPr>
            <w:r w:rsidRPr="00746F54">
              <w:rPr>
                <w:rFonts w:ascii="Arial" w:eastAsia="Calibri" w:hAnsi="Arial" w:cs="Arial"/>
              </w:rPr>
              <w:t>35,800,000</w:t>
            </w:r>
          </w:p>
        </w:tc>
      </w:tr>
      <w:tr w:rsidR="00903C3A" w:rsidRPr="00746F54" w14:paraId="0EE48AFA" w14:textId="77777777" w:rsidTr="00D62922">
        <w:trPr>
          <w:trHeight w:val="190"/>
        </w:trPr>
        <w:tc>
          <w:tcPr>
            <w:tcW w:w="2713" w:type="dxa"/>
          </w:tcPr>
          <w:p w14:paraId="2F91DBDC"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3152" w:type="dxa"/>
          </w:tcPr>
          <w:p w14:paraId="09AC572C" w14:textId="77777777" w:rsidR="00903C3A" w:rsidRPr="00746F54" w:rsidRDefault="00903C3A" w:rsidP="00D62922">
            <w:pPr>
              <w:rPr>
                <w:rFonts w:ascii="Arial" w:eastAsia="Calibri" w:hAnsi="Arial" w:cs="Arial"/>
              </w:rPr>
            </w:pPr>
            <w:r w:rsidRPr="00746F54">
              <w:rPr>
                <w:rFonts w:ascii="Arial" w:eastAsia="Calibri" w:hAnsi="Arial" w:cs="Arial"/>
              </w:rPr>
              <w:t>$1,116,000</w:t>
            </w:r>
          </w:p>
        </w:tc>
        <w:tc>
          <w:tcPr>
            <w:tcW w:w="3348" w:type="dxa"/>
          </w:tcPr>
          <w:p w14:paraId="3398FB11" w14:textId="77777777" w:rsidR="00903C3A" w:rsidRPr="00746F54" w:rsidRDefault="00903C3A" w:rsidP="00D62922">
            <w:pPr>
              <w:rPr>
                <w:rFonts w:ascii="Arial" w:eastAsia="Calibri" w:hAnsi="Arial" w:cs="Arial"/>
              </w:rPr>
            </w:pPr>
            <w:r w:rsidRPr="00746F54">
              <w:rPr>
                <w:rFonts w:ascii="Arial" w:eastAsia="Calibri" w:hAnsi="Arial" w:cs="Arial"/>
              </w:rPr>
              <w:t>15,850,000</w:t>
            </w:r>
          </w:p>
        </w:tc>
      </w:tr>
      <w:tr w:rsidR="00903C3A" w:rsidRPr="00746F54" w14:paraId="4B38B763" w14:textId="77777777" w:rsidTr="00D62922">
        <w:trPr>
          <w:trHeight w:val="190"/>
        </w:trPr>
        <w:tc>
          <w:tcPr>
            <w:tcW w:w="2713" w:type="dxa"/>
          </w:tcPr>
          <w:p w14:paraId="70B45D74"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3152" w:type="dxa"/>
          </w:tcPr>
          <w:p w14:paraId="527213AA" w14:textId="77777777" w:rsidR="00903C3A" w:rsidRPr="00746F54" w:rsidRDefault="00903C3A" w:rsidP="00D62922">
            <w:pPr>
              <w:rPr>
                <w:rFonts w:ascii="Arial" w:eastAsia="Calibri" w:hAnsi="Arial" w:cs="Arial"/>
              </w:rPr>
            </w:pPr>
            <w:r w:rsidRPr="00746F54">
              <w:rPr>
                <w:rFonts w:ascii="Arial" w:eastAsia="Calibri" w:hAnsi="Arial" w:cs="Arial"/>
              </w:rPr>
              <w:t>$1,187,500</w:t>
            </w:r>
          </w:p>
        </w:tc>
        <w:tc>
          <w:tcPr>
            <w:tcW w:w="3348" w:type="dxa"/>
          </w:tcPr>
          <w:p w14:paraId="7D694994" w14:textId="77777777" w:rsidR="00903C3A" w:rsidRPr="00746F54" w:rsidRDefault="00903C3A" w:rsidP="00D62922">
            <w:pPr>
              <w:rPr>
                <w:rFonts w:ascii="Arial" w:eastAsia="Calibri" w:hAnsi="Arial" w:cs="Arial"/>
              </w:rPr>
            </w:pPr>
            <w:r w:rsidRPr="00746F54">
              <w:rPr>
                <w:rFonts w:ascii="Arial" w:eastAsia="Calibri" w:hAnsi="Arial" w:cs="Arial"/>
              </w:rPr>
              <w:t>70,750,000</w:t>
            </w:r>
          </w:p>
        </w:tc>
      </w:tr>
      <w:tr w:rsidR="00903C3A" w:rsidRPr="00746F54" w14:paraId="024A7659" w14:textId="77777777" w:rsidTr="00D62922">
        <w:trPr>
          <w:trHeight w:val="190"/>
        </w:trPr>
        <w:tc>
          <w:tcPr>
            <w:tcW w:w="2713" w:type="dxa"/>
          </w:tcPr>
          <w:p w14:paraId="59E03E49"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3152" w:type="dxa"/>
          </w:tcPr>
          <w:p w14:paraId="0AC250E3" w14:textId="77777777" w:rsidR="00903C3A" w:rsidRPr="00746F54" w:rsidRDefault="00903C3A" w:rsidP="00D62922">
            <w:pPr>
              <w:rPr>
                <w:rFonts w:ascii="Arial" w:eastAsia="Calibri" w:hAnsi="Arial" w:cs="Arial"/>
              </w:rPr>
            </w:pPr>
            <w:r w:rsidRPr="00746F54">
              <w:rPr>
                <w:rFonts w:ascii="Arial" w:eastAsia="Calibri" w:hAnsi="Arial" w:cs="Arial"/>
              </w:rPr>
              <w:t>$1,615,000</w:t>
            </w:r>
          </w:p>
        </w:tc>
        <w:tc>
          <w:tcPr>
            <w:tcW w:w="3348" w:type="dxa"/>
          </w:tcPr>
          <w:p w14:paraId="5BA5CA30" w14:textId="77777777" w:rsidR="00903C3A" w:rsidRPr="00746F54" w:rsidRDefault="00903C3A" w:rsidP="00D62922">
            <w:pPr>
              <w:rPr>
                <w:rFonts w:ascii="Arial" w:eastAsia="Calibri" w:hAnsi="Arial" w:cs="Arial"/>
              </w:rPr>
            </w:pPr>
            <w:r w:rsidRPr="00746F54">
              <w:rPr>
                <w:rFonts w:ascii="Arial" w:eastAsia="Calibri" w:hAnsi="Arial" w:cs="Arial"/>
              </w:rPr>
              <w:t>109,000,000</w:t>
            </w:r>
          </w:p>
        </w:tc>
      </w:tr>
    </w:tbl>
    <w:p w14:paraId="7DAADED0" w14:textId="77777777" w:rsidR="00903C3A" w:rsidRPr="00746F54" w:rsidRDefault="00903C3A" w:rsidP="00903C3A">
      <w:pPr>
        <w:rPr>
          <w:rFonts w:ascii="Arial" w:eastAsia="Calibri" w:hAnsi="Arial" w:cs="Arial"/>
          <w:sz w:val="18"/>
          <w:szCs w:val="18"/>
        </w:rPr>
      </w:pPr>
    </w:p>
    <w:p w14:paraId="1F32D165" w14:textId="77777777" w:rsidR="00903C3A" w:rsidRPr="00746F54" w:rsidRDefault="00903C3A" w:rsidP="00903C3A">
      <w:pPr>
        <w:spacing w:after="0"/>
        <w:rPr>
          <w:rFonts w:ascii="Arial" w:eastAsia="Calibri" w:hAnsi="Arial" w:cs="Arial"/>
        </w:rPr>
      </w:pPr>
      <w:r w:rsidRPr="00746F54">
        <w:rPr>
          <w:rFonts w:ascii="Arial" w:eastAsia="Calibri" w:hAnsi="Arial" w:cs="Arial"/>
        </w:rPr>
        <w:t>The EDAM recoverable revenue is distributed across the BAAs on a load ratio share basis as shown in Table 7 to derive a BAA-specific EDAM access charge rate.</w:t>
      </w:r>
      <w:r w:rsidRPr="00746F54">
        <w:rPr>
          <w:rFonts w:ascii="Arial" w:eastAsia="Calibri" w:hAnsi="Arial" w:cs="Arial"/>
          <w:vertAlign w:val="superscript"/>
        </w:rPr>
        <w:footnoteReference w:id="5"/>
      </w:r>
      <w:r w:rsidRPr="00746F54">
        <w:rPr>
          <w:rFonts w:ascii="Arial" w:eastAsia="Calibri" w:hAnsi="Arial" w:cs="Arial"/>
        </w:rPr>
        <w:t xml:space="preserve">  A BAA is not allocated its own revenue through the EDAM access charge.</w:t>
      </w:r>
    </w:p>
    <w:p w14:paraId="7B97D599" w14:textId="77777777" w:rsidR="00903C3A" w:rsidRPr="00746F54" w:rsidRDefault="00903C3A" w:rsidP="00903C3A">
      <w:pPr>
        <w:spacing w:after="0"/>
        <w:rPr>
          <w:rFonts w:ascii="Arial" w:eastAsia="Calibri" w:hAnsi="Arial" w:cs="Arial"/>
        </w:rPr>
      </w:pPr>
    </w:p>
    <w:p w14:paraId="0AEA3A7B" w14:textId="77777777" w:rsidR="00903C3A" w:rsidRPr="00746F54" w:rsidRDefault="00903C3A" w:rsidP="00903C3A">
      <w:pPr>
        <w:keepNext/>
        <w:keepLines/>
        <w:spacing w:after="0"/>
        <w:jc w:val="center"/>
        <w:rPr>
          <w:rFonts w:ascii="Arial" w:eastAsia="Calibri" w:hAnsi="Arial" w:cs="Arial"/>
          <w:b/>
        </w:rPr>
      </w:pPr>
      <w:r w:rsidRPr="00746F54">
        <w:rPr>
          <w:rFonts w:ascii="Arial" w:eastAsia="Calibri" w:hAnsi="Arial" w:cs="Arial"/>
          <w:b/>
        </w:rPr>
        <w:lastRenderedPageBreak/>
        <w:t>Table 7: BAA-specific Allocation of EDAM Access Charge</w:t>
      </w:r>
    </w:p>
    <w:p w14:paraId="56D249BD" w14:textId="77777777" w:rsidR="00903C3A" w:rsidRPr="00746F54" w:rsidRDefault="00903C3A" w:rsidP="00903C3A">
      <w:pPr>
        <w:keepNext/>
        <w:keepLines/>
        <w:spacing w:after="0"/>
        <w:rPr>
          <w:rFonts w:ascii="Arial" w:eastAsia="Calibri" w:hAnsi="Arial" w:cs="Arial"/>
        </w:rPr>
      </w:pPr>
    </w:p>
    <w:tbl>
      <w:tblPr>
        <w:tblStyle w:val="TableGrid1"/>
        <w:tblW w:w="0" w:type="auto"/>
        <w:tblLayout w:type="fixed"/>
        <w:tblLook w:val="04A0" w:firstRow="1" w:lastRow="0" w:firstColumn="1" w:lastColumn="0" w:noHBand="0" w:noVBand="1"/>
      </w:tblPr>
      <w:tblGrid>
        <w:gridCol w:w="1615"/>
        <w:gridCol w:w="1440"/>
        <w:gridCol w:w="1676"/>
        <w:gridCol w:w="1654"/>
        <w:gridCol w:w="1620"/>
        <w:gridCol w:w="1345"/>
      </w:tblGrid>
      <w:tr w:rsidR="00903C3A" w:rsidRPr="00746F54" w14:paraId="6E6F6570" w14:textId="77777777" w:rsidTr="00D62922">
        <w:tc>
          <w:tcPr>
            <w:tcW w:w="1615" w:type="dxa"/>
          </w:tcPr>
          <w:p w14:paraId="5C63B552"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1440" w:type="dxa"/>
          </w:tcPr>
          <w:p w14:paraId="782FE693"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 – gross load</w:t>
            </w:r>
          </w:p>
        </w:tc>
        <w:tc>
          <w:tcPr>
            <w:tcW w:w="1676" w:type="dxa"/>
          </w:tcPr>
          <w:p w14:paraId="60AD82CC"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 – gross load</w:t>
            </w:r>
          </w:p>
        </w:tc>
        <w:tc>
          <w:tcPr>
            <w:tcW w:w="1654" w:type="dxa"/>
          </w:tcPr>
          <w:p w14:paraId="7B7FAD70"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 – gross load</w:t>
            </w:r>
          </w:p>
        </w:tc>
        <w:tc>
          <w:tcPr>
            <w:tcW w:w="1620" w:type="dxa"/>
          </w:tcPr>
          <w:p w14:paraId="6C2DA004"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 – gross load</w:t>
            </w:r>
          </w:p>
        </w:tc>
        <w:tc>
          <w:tcPr>
            <w:tcW w:w="1345" w:type="dxa"/>
          </w:tcPr>
          <w:p w14:paraId="2D609CE2"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access rate total gross load</w:t>
            </w:r>
          </w:p>
        </w:tc>
      </w:tr>
      <w:tr w:rsidR="00903C3A" w:rsidRPr="00746F54" w14:paraId="36B73158" w14:textId="77777777" w:rsidTr="00D62922">
        <w:tc>
          <w:tcPr>
            <w:tcW w:w="1615" w:type="dxa"/>
          </w:tcPr>
          <w:p w14:paraId="429363A3"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w:t>
            </w:r>
          </w:p>
        </w:tc>
        <w:tc>
          <w:tcPr>
            <w:tcW w:w="1440" w:type="dxa"/>
          </w:tcPr>
          <w:p w14:paraId="2B62381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76" w:type="dxa"/>
          </w:tcPr>
          <w:p w14:paraId="720D7B1A" w14:textId="77777777" w:rsidR="00903C3A" w:rsidRPr="00746F54" w:rsidRDefault="00903C3A" w:rsidP="00D62922">
            <w:pPr>
              <w:keepNext/>
              <w:keepLines/>
              <w:rPr>
                <w:rFonts w:ascii="Arial" w:eastAsia="Calibri" w:hAnsi="Arial" w:cs="Arial"/>
              </w:rPr>
            </w:pPr>
            <w:r w:rsidRPr="00746F54">
              <w:rPr>
                <w:rFonts w:ascii="Arial" w:eastAsia="Calibri" w:hAnsi="Arial" w:cs="Arial"/>
              </w:rPr>
              <w:t>15,850,000</w:t>
            </w:r>
          </w:p>
        </w:tc>
        <w:tc>
          <w:tcPr>
            <w:tcW w:w="1654" w:type="dxa"/>
          </w:tcPr>
          <w:p w14:paraId="0A38849E" w14:textId="77777777" w:rsidR="00903C3A" w:rsidRPr="00746F54" w:rsidRDefault="00903C3A" w:rsidP="00D62922">
            <w:pPr>
              <w:keepNext/>
              <w:keepLines/>
              <w:rPr>
                <w:rFonts w:ascii="Arial" w:eastAsia="Calibri" w:hAnsi="Arial" w:cs="Arial"/>
              </w:rPr>
            </w:pPr>
            <w:r w:rsidRPr="00746F54">
              <w:rPr>
                <w:rFonts w:ascii="Arial" w:eastAsia="Calibri" w:hAnsi="Arial" w:cs="Arial"/>
              </w:rPr>
              <w:t>70,750,000</w:t>
            </w:r>
          </w:p>
        </w:tc>
        <w:tc>
          <w:tcPr>
            <w:tcW w:w="1620" w:type="dxa"/>
          </w:tcPr>
          <w:p w14:paraId="354451BA" w14:textId="77777777" w:rsidR="00903C3A" w:rsidRPr="00746F54" w:rsidRDefault="00903C3A" w:rsidP="00D62922">
            <w:pPr>
              <w:keepNext/>
              <w:keepLines/>
              <w:rPr>
                <w:rFonts w:ascii="Arial" w:eastAsia="Calibri" w:hAnsi="Arial" w:cs="Arial"/>
              </w:rPr>
            </w:pPr>
            <w:r w:rsidRPr="00746F54">
              <w:rPr>
                <w:rFonts w:ascii="Arial" w:eastAsia="Calibri" w:hAnsi="Arial" w:cs="Arial"/>
              </w:rPr>
              <w:t>109,000,000</w:t>
            </w:r>
          </w:p>
        </w:tc>
        <w:tc>
          <w:tcPr>
            <w:tcW w:w="1345" w:type="dxa"/>
          </w:tcPr>
          <w:p w14:paraId="19002C7B" w14:textId="77777777" w:rsidR="00903C3A" w:rsidRPr="00746F54" w:rsidRDefault="00903C3A" w:rsidP="00D62922">
            <w:pPr>
              <w:keepNext/>
              <w:keepLines/>
              <w:rPr>
                <w:rFonts w:ascii="Arial" w:eastAsia="Calibri" w:hAnsi="Arial" w:cs="Arial"/>
              </w:rPr>
            </w:pPr>
            <w:r w:rsidRPr="00746F54">
              <w:rPr>
                <w:rFonts w:ascii="Arial" w:eastAsia="Calibri" w:hAnsi="Arial" w:cs="Arial"/>
              </w:rPr>
              <w:t>195,600,000</w:t>
            </w:r>
          </w:p>
        </w:tc>
      </w:tr>
      <w:tr w:rsidR="00903C3A" w:rsidRPr="00746F54" w14:paraId="0E713A16" w14:textId="77777777" w:rsidTr="00D62922">
        <w:tc>
          <w:tcPr>
            <w:tcW w:w="1615" w:type="dxa"/>
          </w:tcPr>
          <w:p w14:paraId="2CECBB76"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w:t>
            </w:r>
          </w:p>
        </w:tc>
        <w:tc>
          <w:tcPr>
            <w:tcW w:w="1440" w:type="dxa"/>
          </w:tcPr>
          <w:p w14:paraId="10E06414" w14:textId="77777777" w:rsidR="00903C3A" w:rsidRPr="00746F54" w:rsidRDefault="00903C3A" w:rsidP="00D62922">
            <w:pPr>
              <w:keepNext/>
              <w:keepLines/>
              <w:rPr>
                <w:rFonts w:ascii="Arial" w:eastAsia="Calibri" w:hAnsi="Arial" w:cs="Arial"/>
              </w:rPr>
            </w:pPr>
            <w:r w:rsidRPr="00746F54">
              <w:rPr>
                <w:rFonts w:ascii="Arial" w:eastAsia="Calibri" w:hAnsi="Arial" w:cs="Arial"/>
              </w:rPr>
              <w:t>35,800,000</w:t>
            </w:r>
          </w:p>
        </w:tc>
        <w:tc>
          <w:tcPr>
            <w:tcW w:w="1676" w:type="dxa"/>
          </w:tcPr>
          <w:p w14:paraId="0B6C0E5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54" w:type="dxa"/>
          </w:tcPr>
          <w:p w14:paraId="4B6DCBA2" w14:textId="77777777" w:rsidR="00903C3A" w:rsidRPr="00746F54" w:rsidRDefault="00903C3A" w:rsidP="00D62922">
            <w:pPr>
              <w:keepNext/>
              <w:keepLines/>
              <w:rPr>
                <w:rFonts w:ascii="Arial" w:eastAsia="Calibri" w:hAnsi="Arial" w:cs="Arial"/>
              </w:rPr>
            </w:pPr>
            <w:r w:rsidRPr="00746F54">
              <w:rPr>
                <w:rFonts w:ascii="Arial" w:eastAsia="Calibri" w:hAnsi="Arial" w:cs="Arial"/>
              </w:rPr>
              <w:t>70,750,000</w:t>
            </w:r>
          </w:p>
        </w:tc>
        <w:tc>
          <w:tcPr>
            <w:tcW w:w="1620" w:type="dxa"/>
          </w:tcPr>
          <w:p w14:paraId="4E29E503" w14:textId="77777777" w:rsidR="00903C3A" w:rsidRPr="00746F54" w:rsidRDefault="00903C3A" w:rsidP="00D62922">
            <w:pPr>
              <w:keepNext/>
              <w:keepLines/>
              <w:rPr>
                <w:rFonts w:ascii="Arial" w:eastAsia="Calibri" w:hAnsi="Arial" w:cs="Arial"/>
              </w:rPr>
            </w:pPr>
            <w:r w:rsidRPr="00746F54">
              <w:rPr>
                <w:rFonts w:ascii="Arial" w:eastAsia="Calibri" w:hAnsi="Arial" w:cs="Arial"/>
              </w:rPr>
              <w:t>109,000,000</w:t>
            </w:r>
          </w:p>
        </w:tc>
        <w:tc>
          <w:tcPr>
            <w:tcW w:w="1345" w:type="dxa"/>
          </w:tcPr>
          <w:p w14:paraId="384371CB" w14:textId="77777777" w:rsidR="00903C3A" w:rsidRPr="00746F54" w:rsidRDefault="00903C3A" w:rsidP="00D62922">
            <w:pPr>
              <w:keepNext/>
              <w:keepLines/>
              <w:rPr>
                <w:rFonts w:ascii="Arial" w:eastAsia="Calibri" w:hAnsi="Arial" w:cs="Arial"/>
              </w:rPr>
            </w:pPr>
            <w:r w:rsidRPr="00746F54">
              <w:rPr>
                <w:rFonts w:ascii="Arial" w:eastAsia="Calibri" w:hAnsi="Arial" w:cs="Arial"/>
              </w:rPr>
              <w:t>215,550,000</w:t>
            </w:r>
          </w:p>
        </w:tc>
      </w:tr>
      <w:tr w:rsidR="00903C3A" w:rsidRPr="00746F54" w14:paraId="71B25BDA" w14:textId="77777777" w:rsidTr="00D62922">
        <w:tc>
          <w:tcPr>
            <w:tcW w:w="1615" w:type="dxa"/>
          </w:tcPr>
          <w:p w14:paraId="28CE2075"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1440" w:type="dxa"/>
          </w:tcPr>
          <w:p w14:paraId="06BFE067" w14:textId="77777777" w:rsidR="00903C3A" w:rsidRPr="00746F54" w:rsidRDefault="00903C3A" w:rsidP="00D62922">
            <w:pPr>
              <w:keepNext/>
              <w:keepLines/>
              <w:rPr>
                <w:rFonts w:ascii="Arial" w:eastAsia="Calibri" w:hAnsi="Arial" w:cs="Arial"/>
              </w:rPr>
            </w:pPr>
            <w:r w:rsidRPr="00746F54">
              <w:rPr>
                <w:rFonts w:ascii="Arial" w:eastAsia="Calibri" w:hAnsi="Arial" w:cs="Arial"/>
              </w:rPr>
              <w:t>35,800,000</w:t>
            </w:r>
          </w:p>
        </w:tc>
        <w:tc>
          <w:tcPr>
            <w:tcW w:w="1676" w:type="dxa"/>
          </w:tcPr>
          <w:p w14:paraId="0A10963B" w14:textId="77777777" w:rsidR="00903C3A" w:rsidRPr="00746F54" w:rsidRDefault="00903C3A" w:rsidP="00D62922">
            <w:pPr>
              <w:keepNext/>
              <w:keepLines/>
              <w:rPr>
                <w:rFonts w:ascii="Arial" w:eastAsia="Calibri" w:hAnsi="Arial" w:cs="Arial"/>
              </w:rPr>
            </w:pPr>
            <w:r w:rsidRPr="00746F54">
              <w:rPr>
                <w:rFonts w:ascii="Arial" w:eastAsia="Calibri" w:hAnsi="Arial" w:cs="Arial"/>
              </w:rPr>
              <w:t>15,850,000</w:t>
            </w:r>
          </w:p>
        </w:tc>
        <w:tc>
          <w:tcPr>
            <w:tcW w:w="1654" w:type="dxa"/>
          </w:tcPr>
          <w:p w14:paraId="395FFB7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20" w:type="dxa"/>
          </w:tcPr>
          <w:p w14:paraId="32401B78" w14:textId="77777777" w:rsidR="00903C3A" w:rsidRPr="00746F54" w:rsidRDefault="00903C3A" w:rsidP="00D62922">
            <w:pPr>
              <w:keepNext/>
              <w:keepLines/>
              <w:rPr>
                <w:rFonts w:ascii="Arial" w:eastAsia="Calibri" w:hAnsi="Arial" w:cs="Arial"/>
              </w:rPr>
            </w:pPr>
            <w:r w:rsidRPr="00746F54">
              <w:rPr>
                <w:rFonts w:ascii="Arial" w:eastAsia="Calibri" w:hAnsi="Arial" w:cs="Arial"/>
              </w:rPr>
              <w:t>109,000,000</w:t>
            </w:r>
          </w:p>
        </w:tc>
        <w:tc>
          <w:tcPr>
            <w:tcW w:w="1345" w:type="dxa"/>
          </w:tcPr>
          <w:p w14:paraId="606A8663" w14:textId="77777777" w:rsidR="00903C3A" w:rsidRPr="00746F54" w:rsidRDefault="00903C3A" w:rsidP="00D62922">
            <w:pPr>
              <w:keepNext/>
              <w:keepLines/>
              <w:rPr>
                <w:rFonts w:ascii="Arial" w:eastAsia="Calibri" w:hAnsi="Arial" w:cs="Arial"/>
              </w:rPr>
            </w:pPr>
            <w:r w:rsidRPr="00746F54">
              <w:rPr>
                <w:rFonts w:ascii="Arial" w:eastAsia="Calibri" w:hAnsi="Arial" w:cs="Arial"/>
              </w:rPr>
              <w:t>160,650,000</w:t>
            </w:r>
          </w:p>
        </w:tc>
      </w:tr>
      <w:tr w:rsidR="00903C3A" w:rsidRPr="00746F54" w14:paraId="7DECE14D" w14:textId="77777777" w:rsidTr="00D62922">
        <w:tc>
          <w:tcPr>
            <w:tcW w:w="1615" w:type="dxa"/>
          </w:tcPr>
          <w:p w14:paraId="627ABCDE"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w:t>
            </w:r>
          </w:p>
        </w:tc>
        <w:tc>
          <w:tcPr>
            <w:tcW w:w="1440" w:type="dxa"/>
          </w:tcPr>
          <w:p w14:paraId="19AC8876" w14:textId="77777777" w:rsidR="00903C3A" w:rsidRPr="00746F54" w:rsidRDefault="00903C3A" w:rsidP="00D62922">
            <w:pPr>
              <w:keepNext/>
              <w:keepLines/>
              <w:rPr>
                <w:rFonts w:ascii="Arial" w:eastAsia="Calibri" w:hAnsi="Arial" w:cs="Arial"/>
              </w:rPr>
            </w:pPr>
            <w:r w:rsidRPr="00746F54">
              <w:rPr>
                <w:rFonts w:ascii="Arial" w:eastAsia="Calibri" w:hAnsi="Arial" w:cs="Arial"/>
              </w:rPr>
              <w:t>35,800,000</w:t>
            </w:r>
          </w:p>
        </w:tc>
        <w:tc>
          <w:tcPr>
            <w:tcW w:w="1676" w:type="dxa"/>
          </w:tcPr>
          <w:p w14:paraId="0AFBDB5B" w14:textId="77777777" w:rsidR="00903C3A" w:rsidRPr="00746F54" w:rsidRDefault="00903C3A" w:rsidP="00D62922">
            <w:pPr>
              <w:keepNext/>
              <w:keepLines/>
              <w:rPr>
                <w:rFonts w:ascii="Arial" w:eastAsia="Calibri" w:hAnsi="Arial" w:cs="Arial"/>
              </w:rPr>
            </w:pPr>
            <w:r w:rsidRPr="00746F54">
              <w:rPr>
                <w:rFonts w:ascii="Arial" w:eastAsia="Calibri" w:hAnsi="Arial" w:cs="Arial"/>
              </w:rPr>
              <w:t>15,850,000</w:t>
            </w:r>
          </w:p>
        </w:tc>
        <w:tc>
          <w:tcPr>
            <w:tcW w:w="1654" w:type="dxa"/>
          </w:tcPr>
          <w:p w14:paraId="7B1AE648" w14:textId="77777777" w:rsidR="00903C3A" w:rsidRPr="00746F54" w:rsidRDefault="00903C3A" w:rsidP="00D62922">
            <w:pPr>
              <w:keepNext/>
              <w:keepLines/>
              <w:rPr>
                <w:rFonts w:ascii="Arial" w:eastAsia="Calibri" w:hAnsi="Arial" w:cs="Arial"/>
              </w:rPr>
            </w:pPr>
            <w:r w:rsidRPr="00746F54">
              <w:rPr>
                <w:rFonts w:ascii="Arial" w:eastAsia="Calibri" w:hAnsi="Arial" w:cs="Arial"/>
              </w:rPr>
              <w:t>70,750,000</w:t>
            </w:r>
          </w:p>
        </w:tc>
        <w:tc>
          <w:tcPr>
            <w:tcW w:w="1620" w:type="dxa"/>
          </w:tcPr>
          <w:p w14:paraId="52014926"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345" w:type="dxa"/>
          </w:tcPr>
          <w:p w14:paraId="16600D5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122,400,000</w:t>
            </w:r>
          </w:p>
        </w:tc>
      </w:tr>
    </w:tbl>
    <w:p w14:paraId="038C3C3D" w14:textId="77777777" w:rsidR="00903C3A" w:rsidRPr="00746F54" w:rsidRDefault="00903C3A" w:rsidP="00903C3A">
      <w:pPr>
        <w:rPr>
          <w:rFonts w:ascii="Arial" w:eastAsia="Calibri" w:hAnsi="Arial" w:cs="Arial"/>
          <w:sz w:val="18"/>
          <w:szCs w:val="18"/>
        </w:rPr>
      </w:pPr>
    </w:p>
    <w:tbl>
      <w:tblPr>
        <w:tblStyle w:val="TableGrid1"/>
        <w:tblW w:w="0" w:type="auto"/>
        <w:tblLook w:val="04A0" w:firstRow="1" w:lastRow="0" w:firstColumn="1" w:lastColumn="0" w:noHBand="0" w:noVBand="1"/>
      </w:tblPr>
      <w:tblGrid>
        <w:gridCol w:w="1536"/>
        <w:gridCol w:w="1495"/>
        <w:gridCol w:w="1691"/>
        <w:gridCol w:w="1594"/>
        <w:gridCol w:w="1594"/>
        <w:gridCol w:w="1440"/>
      </w:tblGrid>
      <w:tr w:rsidR="00903C3A" w:rsidRPr="00746F54" w14:paraId="660D087A" w14:textId="77777777" w:rsidTr="00D62922">
        <w:tc>
          <w:tcPr>
            <w:tcW w:w="1546" w:type="dxa"/>
          </w:tcPr>
          <w:p w14:paraId="35EFADF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EDAM Entity transmission provider</w:t>
            </w:r>
          </w:p>
        </w:tc>
        <w:tc>
          <w:tcPr>
            <w:tcW w:w="1509" w:type="dxa"/>
          </w:tcPr>
          <w:p w14:paraId="46F2240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1 – EDAM recoverable revenue  allocation</w:t>
            </w:r>
          </w:p>
        </w:tc>
        <w:tc>
          <w:tcPr>
            <w:tcW w:w="1727" w:type="dxa"/>
          </w:tcPr>
          <w:p w14:paraId="525D73C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2 – EDAM recoverable revenue  allocation</w:t>
            </w:r>
          </w:p>
        </w:tc>
        <w:tc>
          <w:tcPr>
            <w:tcW w:w="1619" w:type="dxa"/>
          </w:tcPr>
          <w:p w14:paraId="662F01C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3 – EDAM recoverable revenue  allocation</w:t>
            </w:r>
          </w:p>
        </w:tc>
        <w:tc>
          <w:tcPr>
            <w:tcW w:w="1619" w:type="dxa"/>
          </w:tcPr>
          <w:p w14:paraId="346394B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4 EDAM recoverable revenue  allocation</w:t>
            </w:r>
          </w:p>
        </w:tc>
        <w:tc>
          <w:tcPr>
            <w:tcW w:w="1330" w:type="dxa"/>
          </w:tcPr>
          <w:p w14:paraId="6B4C37F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EDAM recoverable revenue </w:t>
            </w:r>
          </w:p>
        </w:tc>
      </w:tr>
      <w:tr w:rsidR="00903C3A" w:rsidRPr="00746F54" w14:paraId="472E7FA5" w14:textId="77777777" w:rsidTr="00D62922">
        <w:tc>
          <w:tcPr>
            <w:tcW w:w="1546" w:type="dxa"/>
          </w:tcPr>
          <w:p w14:paraId="1D0B1E3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1</w:t>
            </w:r>
          </w:p>
        </w:tc>
        <w:tc>
          <w:tcPr>
            <w:tcW w:w="1509" w:type="dxa"/>
          </w:tcPr>
          <w:p w14:paraId="4E93F5E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727" w:type="dxa"/>
          </w:tcPr>
          <w:p w14:paraId="1D4DA6C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$577,054</w:t>
            </w:r>
          </w:p>
        </w:tc>
        <w:tc>
          <w:tcPr>
            <w:tcW w:w="1619" w:type="dxa"/>
          </w:tcPr>
          <w:p w14:paraId="47036CB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$2,575,810</w:t>
            </w:r>
          </w:p>
        </w:tc>
        <w:tc>
          <w:tcPr>
            <w:tcW w:w="1619" w:type="dxa"/>
          </w:tcPr>
          <w:p w14:paraId="696F900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$3,968,386</w:t>
            </w:r>
          </w:p>
        </w:tc>
        <w:tc>
          <w:tcPr>
            <w:tcW w:w="1330" w:type="dxa"/>
          </w:tcPr>
          <w:p w14:paraId="77F683E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$7,121,250</w:t>
            </w:r>
          </w:p>
        </w:tc>
      </w:tr>
      <w:tr w:rsidR="00903C3A" w:rsidRPr="00746F54" w14:paraId="5BEBD2DB" w14:textId="77777777" w:rsidTr="00D62922">
        <w:tc>
          <w:tcPr>
            <w:tcW w:w="1546" w:type="dxa"/>
          </w:tcPr>
          <w:p w14:paraId="5DE3B13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2</w:t>
            </w:r>
          </w:p>
        </w:tc>
        <w:tc>
          <w:tcPr>
            <w:tcW w:w="1509" w:type="dxa"/>
          </w:tcPr>
          <w:p w14:paraId="031331E7"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$185,353</w:t>
            </w:r>
          </w:p>
        </w:tc>
        <w:tc>
          <w:tcPr>
            <w:tcW w:w="1727" w:type="dxa"/>
          </w:tcPr>
          <w:p w14:paraId="126E1C0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19" w:type="dxa"/>
          </w:tcPr>
          <w:p w14:paraId="2534DE8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$366,305</w:t>
            </w:r>
          </w:p>
        </w:tc>
        <w:tc>
          <w:tcPr>
            <w:tcW w:w="1619" w:type="dxa"/>
          </w:tcPr>
          <w:p w14:paraId="7848D5A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$564,342</w:t>
            </w:r>
          </w:p>
        </w:tc>
        <w:tc>
          <w:tcPr>
            <w:tcW w:w="1330" w:type="dxa"/>
          </w:tcPr>
          <w:p w14:paraId="1D3A2D6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$1,116,000</w:t>
            </w:r>
          </w:p>
        </w:tc>
      </w:tr>
      <w:tr w:rsidR="00903C3A" w:rsidRPr="00746F54" w14:paraId="7C8A0ED7" w14:textId="77777777" w:rsidTr="00D62922">
        <w:tc>
          <w:tcPr>
            <w:tcW w:w="1546" w:type="dxa"/>
          </w:tcPr>
          <w:p w14:paraId="0104F5A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3</w:t>
            </w:r>
          </w:p>
        </w:tc>
        <w:tc>
          <w:tcPr>
            <w:tcW w:w="1509" w:type="dxa"/>
          </w:tcPr>
          <w:p w14:paraId="364FBB57"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$264,628</w:t>
            </w:r>
          </w:p>
        </w:tc>
        <w:tc>
          <w:tcPr>
            <w:tcW w:w="1727" w:type="dxa"/>
          </w:tcPr>
          <w:p w14:paraId="2BD2C5A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$117,161</w:t>
            </w:r>
          </w:p>
        </w:tc>
        <w:tc>
          <w:tcPr>
            <w:tcW w:w="1619" w:type="dxa"/>
          </w:tcPr>
          <w:p w14:paraId="4FF4B2A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19" w:type="dxa"/>
          </w:tcPr>
          <w:p w14:paraId="7977034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$805,711</w:t>
            </w:r>
          </w:p>
        </w:tc>
        <w:tc>
          <w:tcPr>
            <w:tcW w:w="1330" w:type="dxa"/>
          </w:tcPr>
          <w:p w14:paraId="65C61E6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$1,187,500</w:t>
            </w:r>
          </w:p>
        </w:tc>
      </w:tr>
      <w:tr w:rsidR="00903C3A" w:rsidRPr="00746F54" w14:paraId="0790FE11" w14:textId="77777777" w:rsidTr="00D62922">
        <w:tc>
          <w:tcPr>
            <w:tcW w:w="1546" w:type="dxa"/>
          </w:tcPr>
          <w:p w14:paraId="576846BD"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4</w:t>
            </w:r>
          </w:p>
        </w:tc>
        <w:tc>
          <w:tcPr>
            <w:tcW w:w="1509" w:type="dxa"/>
          </w:tcPr>
          <w:p w14:paraId="566EAB95"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$472,361</w:t>
            </w:r>
          </w:p>
        </w:tc>
        <w:tc>
          <w:tcPr>
            <w:tcW w:w="1727" w:type="dxa"/>
          </w:tcPr>
          <w:p w14:paraId="6EB954A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$209,132</w:t>
            </w:r>
          </w:p>
        </w:tc>
        <w:tc>
          <w:tcPr>
            <w:tcW w:w="1619" w:type="dxa"/>
          </w:tcPr>
          <w:p w14:paraId="56F2AA7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$933,507</w:t>
            </w:r>
          </w:p>
        </w:tc>
        <w:tc>
          <w:tcPr>
            <w:tcW w:w="1619" w:type="dxa"/>
          </w:tcPr>
          <w:p w14:paraId="3681AE6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330" w:type="dxa"/>
          </w:tcPr>
          <w:p w14:paraId="280CA13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$1,615,000</w:t>
            </w:r>
          </w:p>
        </w:tc>
      </w:tr>
      <w:tr w:rsidR="00903C3A" w:rsidRPr="00746F54" w14:paraId="01A0DF18" w14:textId="77777777" w:rsidTr="00D62922">
        <w:tc>
          <w:tcPr>
            <w:tcW w:w="1546" w:type="dxa"/>
          </w:tcPr>
          <w:p w14:paraId="606F922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total allocation</w:t>
            </w:r>
          </w:p>
        </w:tc>
        <w:tc>
          <w:tcPr>
            <w:tcW w:w="1509" w:type="dxa"/>
          </w:tcPr>
          <w:p w14:paraId="334733B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$922,342</w:t>
            </w:r>
          </w:p>
        </w:tc>
        <w:tc>
          <w:tcPr>
            <w:tcW w:w="1727" w:type="dxa"/>
          </w:tcPr>
          <w:p w14:paraId="4D98DBB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$903,347</w:t>
            </w:r>
          </w:p>
        </w:tc>
        <w:tc>
          <w:tcPr>
            <w:tcW w:w="1619" w:type="dxa"/>
          </w:tcPr>
          <w:p w14:paraId="7C32A1B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$3,875,622</w:t>
            </w:r>
          </w:p>
        </w:tc>
        <w:tc>
          <w:tcPr>
            <w:tcW w:w="1619" w:type="dxa"/>
          </w:tcPr>
          <w:p w14:paraId="3D731BA9"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$5,338,439</w:t>
            </w:r>
          </w:p>
        </w:tc>
        <w:tc>
          <w:tcPr>
            <w:tcW w:w="1330" w:type="dxa"/>
          </w:tcPr>
          <w:p w14:paraId="03F8FA2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$11,039,750</w:t>
            </w:r>
          </w:p>
        </w:tc>
      </w:tr>
    </w:tbl>
    <w:p w14:paraId="139B4F0C" w14:textId="77777777" w:rsidR="00903C3A" w:rsidRPr="00746F54" w:rsidRDefault="00903C3A" w:rsidP="00903C3A">
      <w:pPr>
        <w:rPr>
          <w:rFonts w:ascii="Arial" w:eastAsia="Calibri" w:hAnsi="Arial" w:cs="Arial"/>
        </w:rPr>
      </w:pPr>
    </w:p>
    <w:p w14:paraId="48344318" w14:textId="77777777" w:rsidR="00903C3A" w:rsidRPr="00746F54" w:rsidRDefault="00903C3A" w:rsidP="00903C3A">
      <w:pPr>
        <w:rPr>
          <w:rFonts w:ascii="Arial" w:eastAsia="Calibri" w:hAnsi="Arial" w:cs="Arial"/>
        </w:rPr>
      </w:pPr>
      <w:r w:rsidRPr="00746F54">
        <w:rPr>
          <w:rFonts w:ascii="Arial" w:eastAsia="Calibri" w:hAnsi="Arial" w:cs="Arial"/>
        </w:rPr>
        <w:t xml:space="preserve">These allocations are then further converted to an EDAM access charge rate for each BAA as shown in Table 8.  The CAISO divides the total cost allocation for the BAA by its annual gross load.   </w:t>
      </w:r>
    </w:p>
    <w:p w14:paraId="17FEDCDB" w14:textId="77777777" w:rsidR="00903C3A" w:rsidRPr="00746F54" w:rsidRDefault="00903C3A" w:rsidP="00903C3A">
      <w:pPr>
        <w:keepNext/>
        <w:keepLines/>
        <w:jc w:val="center"/>
        <w:rPr>
          <w:rFonts w:ascii="Arial" w:eastAsia="Calibri" w:hAnsi="Arial" w:cs="Arial"/>
          <w:b/>
        </w:rPr>
      </w:pPr>
      <w:r w:rsidRPr="00746F54">
        <w:rPr>
          <w:rFonts w:ascii="Arial" w:eastAsia="Calibri" w:hAnsi="Arial" w:cs="Arial"/>
          <w:b/>
        </w:rPr>
        <w:t>Table 8: Derivation of EDAM Access Charge Rate</w:t>
      </w:r>
    </w:p>
    <w:tbl>
      <w:tblPr>
        <w:tblStyle w:val="TableGrid1"/>
        <w:tblW w:w="9350" w:type="dxa"/>
        <w:tblLook w:val="04A0" w:firstRow="1" w:lastRow="0" w:firstColumn="1" w:lastColumn="0" w:noHBand="0" w:noVBand="1"/>
      </w:tblPr>
      <w:tblGrid>
        <w:gridCol w:w="2051"/>
        <w:gridCol w:w="2362"/>
        <w:gridCol w:w="2453"/>
        <w:gridCol w:w="2484"/>
      </w:tblGrid>
      <w:tr w:rsidR="00903C3A" w:rsidRPr="00746F54" w14:paraId="54A04A8F" w14:textId="77777777" w:rsidTr="00D62922">
        <w:tc>
          <w:tcPr>
            <w:tcW w:w="2051" w:type="dxa"/>
          </w:tcPr>
          <w:p w14:paraId="276B735C"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2362" w:type="dxa"/>
          </w:tcPr>
          <w:p w14:paraId="603553EE" w14:textId="77777777" w:rsidR="00903C3A" w:rsidRPr="00746F54" w:rsidRDefault="00903C3A" w:rsidP="00D62922">
            <w:pPr>
              <w:keepNext/>
              <w:keepLines/>
              <w:rPr>
                <w:rFonts w:ascii="Arial" w:eastAsia="Calibri" w:hAnsi="Arial" w:cs="Arial"/>
              </w:rPr>
            </w:pPr>
            <w:r w:rsidRPr="00746F54">
              <w:rPr>
                <w:rFonts w:ascii="Arial" w:eastAsia="Calibri" w:hAnsi="Arial" w:cs="Arial"/>
              </w:rPr>
              <w:t xml:space="preserve">Total cost allocation to the BAA </w:t>
            </w:r>
          </w:p>
        </w:tc>
        <w:tc>
          <w:tcPr>
            <w:tcW w:w="2453" w:type="dxa"/>
          </w:tcPr>
          <w:p w14:paraId="78E1C48C" w14:textId="77777777" w:rsidR="00903C3A" w:rsidRPr="00746F54" w:rsidRDefault="00903C3A" w:rsidP="00D62922">
            <w:pPr>
              <w:keepNext/>
              <w:keepLines/>
              <w:rPr>
                <w:rFonts w:ascii="Arial" w:eastAsia="Calibri" w:hAnsi="Arial" w:cs="Arial"/>
              </w:rPr>
            </w:pPr>
            <w:r w:rsidRPr="00746F54">
              <w:rPr>
                <w:rFonts w:ascii="Arial" w:eastAsia="Calibri" w:hAnsi="Arial" w:cs="Arial"/>
              </w:rPr>
              <w:t>Annual gross load (MWh)</w:t>
            </w:r>
          </w:p>
        </w:tc>
        <w:tc>
          <w:tcPr>
            <w:tcW w:w="2484" w:type="dxa"/>
          </w:tcPr>
          <w:p w14:paraId="083E2F11" w14:textId="77777777" w:rsidR="00903C3A" w:rsidRPr="00746F54" w:rsidRDefault="00903C3A" w:rsidP="00D62922">
            <w:pPr>
              <w:keepNext/>
              <w:keepLines/>
              <w:rPr>
                <w:rFonts w:ascii="Arial" w:eastAsia="Calibri" w:hAnsi="Arial" w:cs="Arial"/>
              </w:rPr>
            </w:pPr>
            <w:r w:rsidRPr="00746F54">
              <w:rPr>
                <w:rFonts w:ascii="Arial" w:eastAsia="Calibri" w:hAnsi="Arial" w:cs="Arial"/>
              </w:rPr>
              <w:t xml:space="preserve">EDAM access charge rate assessed to the BAA </w:t>
            </w:r>
          </w:p>
        </w:tc>
      </w:tr>
      <w:tr w:rsidR="00903C3A" w:rsidRPr="00746F54" w14:paraId="7BD8E3B6" w14:textId="77777777" w:rsidTr="00D62922">
        <w:tc>
          <w:tcPr>
            <w:tcW w:w="2051" w:type="dxa"/>
          </w:tcPr>
          <w:p w14:paraId="2459304F"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w:t>
            </w:r>
          </w:p>
        </w:tc>
        <w:tc>
          <w:tcPr>
            <w:tcW w:w="2362" w:type="dxa"/>
          </w:tcPr>
          <w:p w14:paraId="0C9F10CF" w14:textId="77777777" w:rsidR="00903C3A" w:rsidRPr="00746F54" w:rsidRDefault="00903C3A" w:rsidP="00D62922">
            <w:pPr>
              <w:keepNext/>
              <w:keepLines/>
              <w:rPr>
                <w:rFonts w:ascii="Arial" w:eastAsia="Calibri" w:hAnsi="Arial" w:cs="Arial"/>
              </w:rPr>
            </w:pPr>
            <w:r w:rsidRPr="00746F54">
              <w:rPr>
                <w:rFonts w:ascii="Arial" w:eastAsia="Calibri" w:hAnsi="Arial" w:cs="Arial"/>
              </w:rPr>
              <w:t>$922,342</w:t>
            </w:r>
          </w:p>
        </w:tc>
        <w:tc>
          <w:tcPr>
            <w:tcW w:w="2453" w:type="dxa"/>
          </w:tcPr>
          <w:p w14:paraId="4D547AF6" w14:textId="77777777" w:rsidR="00903C3A" w:rsidRPr="00746F54" w:rsidRDefault="00903C3A" w:rsidP="00D62922">
            <w:pPr>
              <w:keepNext/>
              <w:keepLines/>
              <w:rPr>
                <w:rFonts w:ascii="Arial" w:eastAsia="Calibri" w:hAnsi="Arial" w:cs="Arial"/>
              </w:rPr>
            </w:pPr>
            <w:r w:rsidRPr="00746F54">
              <w:rPr>
                <w:rFonts w:ascii="Arial" w:eastAsia="Calibri" w:hAnsi="Arial" w:cs="Arial"/>
              </w:rPr>
              <w:t>35,800,000</w:t>
            </w:r>
          </w:p>
        </w:tc>
        <w:tc>
          <w:tcPr>
            <w:tcW w:w="2484" w:type="dxa"/>
          </w:tcPr>
          <w:p w14:paraId="3CFE1E30" w14:textId="77777777" w:rsidR="00903C3A" w:rsidRPr="00746F54" w:rsidRDefault="00903C3A" w:rsidP="00D62922">
            <w:pPr>
              <w:keepNext/>
              <w:keepLines/>
              <w:rPr>
                <w:rFonts w:ascii="Arial" w:eastAsia="Calibri" w:hAnsi="Arial" w:cs="Arial"/>
              </w:rPr>
            </w:pPr>
            <w:r w:rsidRPr="00746F54">
              <w:rPr>
                <w:rFonts w:ascii="Arial" w:eastAsia="Calibri" w:hAnsi="Arial" w:cs="Arial"/>
              </w:rPr>
              <w:t>$0.026 per MWh</w:t>
            </w:r>
          </w:p>
        </w:tc>
      </w:tr>
      <w:tr w:rsidR="00903C3A" w:rsidRPr="00746F54" w14:paraId="2EA479E0" w14:textId="77777777" w:rsidTr="00D62922">
        <w:tc>
          <w:tcPr>
            <w:tcW w:w="2051" w:type="dxa"/>
          </w:tcPr>
          <w:p w14:paraId="4AA4B9DF"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w:t>
            </w:r>
          </w:p>
        </w:tc>
        <w:tc>
          <w:tcPr>
            <w:tcW w:w="2362" w:type="dxa"/>
          </w:tcPr>
          <w:p w14:paraId="2C7B8A7D" w14:textId="77777777" w:rsidR="00903C3A" w:rsidRPr="00746F54" w:rsidRDefault="00903C3A" w:rsidP="00D62922">
            <w:pPr>
              <w:keepNext/>
              <w:keepLines/>
              <w:rPr>
                <w:rFonts w:ascii="Arial" w:eastAsia="Calibri" w:hAnsi="Arial" w:cs="Arial"/>
              </w:rPr>
            </w:pPr>
            <w:r w:rsidRPr="00746F54">
              <w:rPr>
                <w:rFonts w:ascii="Arial" w:eastAsia="Calibri" w:hAnsi="Arial" w:cs="Arial"/>
              </w:rPr>
              <w:t>$903,347</w:t>
            </w:r>
          </w:p>
        </w:tc>
        <w:tc>
          <w:tcPr>
            <w:tcW w:w="2453" w:type="dxa"/>
          </w:tcPr>
          <w:p w14:paraId="1A7C9529" w14:textId="77777777" w:rsidR="00903C3A" w:rsidRPr="00746F54" w:rsidRDefault="00903C3A" w:rsidP="00D62922">
            <w:pPr>
              <w:keepNext/>
              <w:keepLines/>
              <w:rPr>
                <w:rFonts w:ascii="Arial" w:eastAsia="Calibri" w:hAnsi="Arial" w:cs="Arial"/>
              </w:rPr>
            </w:pPr>
            <w:r w:rsidRPr="00746F54">
              <w:rPr>
                <w:rFonts w:ascii="Arial" w:eastAsia="Calibri" w:hAnsi="Arial" w:cs="Arial"/>
              </w:rPr>
              <w:t>15,850,000</w:t>
            </w:r>
          </w:p>
        </w:tc>
        <w:tc>
          <w:tcPr>
            <w:tcW w:w="2484" w:type="dxa"/>
          </w:tcPr>
          <w:p w14:paraId="3872FEC4" w14:textId="77777777" w:rsidR="00903C3A" w:rsidRPr="00746F54" w:rsidRDefault="00903C3A" w:rsidP="00D62922">
            <w:pPr>
              <w:keepNext/>
              <w:keepLines/>
              <w:rPr>
                <w:rFonts w:ascii="Arial" w:eastAsia="Calibri" w:hAnsi="Arial" w:cs="Arial"/>
              </w:rPr>
            </w:pPr>
            <w:r w:rsidRPr="00746F54">
              <w:rPr>
                <w:rFonts w:ascii="Arial" w:eastAsia="Calibri" w:hAnsi="Arial" w:cs="Arial"/>
              </w:rPr>
              <w:t>$0.057 per MWh</w:t>
            </w:r>
          </w:p>
        </w:tc>
      </w:tr>
      <w:tr w:rsidR="00903C3A" w:rsidRPr="00746F54" w14:paraId="79DB9DA4" w14:textId="77777777" w:rsidTr="00D62922">
        <w:tc>
          <w:tcPr>
            <w:tcW w:w="2051" w:type="dxa"/>
          </w:tcPr>
          <w:p w14:paraId="76E44397"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2362" w:type="dxa"/>
          </w:tcPr>
          <w:p w14:paraId="2E01E10E" w14:textId="77777777" w:rsidR="00903C3A" w:rsidRPr="00746F54" w:rsidRDefault="00903C3A" w:rsidP="00D62922">
            <w:pPr>
              <w:keepNext/>
              <w:keepLines/>
              <w:rPr>
                <w:rFonts w:ascii="Arial" w:eastAsia="Calibri" w:hAnsi="Arial" w:cs="Arial"/>
              </w:rPr>
            </w:pPr>
            <w:r w:rsidRPr="00746F54">
              <w:rPr>
                <w:rFonts w:ascii="Arial" w:eastAsia="Calibri" w:hAnsi="Arial" w:cs="Arial"/>
              </w:rPr>
              <w:t>$3,875,622</w:t>
            </w:r>
          </w:p>
        </w:tc>
        <w:tc>
          <w:tcPr>
            <w:tcW w:w="2453" w:type="dxa"/>
          </w:tcPr>
          <w:p w14:paraId="1923B0D4" w14:textId="77777777" w:rsidR="00903C3A" w:rsidRPr="00746F54" w:rsidRDefault="00903C3A" w:rsidP="00D62922">
            <w:pPr>
              <w:keepNext/>
              <w:keepLines/>
              <w:rPr>
                <w:rFonts w:ascii="Arial" w:eastAsia="Calibri" w:hAnsi="Arial" w:cs="Arial"/>
              </w:rPr>
            </w:pPr>
            <w:r w:rsidRPr="00746F54">
              <w:rPr>
                <w:rFonts w:ascii="Arial" w:eastAsia="Calibri" w:hAnsi="Arial" w:cs="Arial"/>
              </w:rPr>
              <w:t>70,750,000</w:t>
            </w:r>
          </w:p>
        </w:tc>
        <w:tc>
          <w:tcPr>
            <w:tcW w:w="2484" w:type="dxa"/>
          </w:tcPr>
          <w:p w14:paraId="09436739" w14:textId="77777777" w:rsidR="00903C3A" w:rsidRPr="00746F54" w:rsidRDefault="00903C3A" w:rsidP="00D62922">
            <w:pPr>
              <w:keepNext/>
              <w:keepLines/>
              <w:rPr>
                <w:rFonts w:ascii="Arial" w:eastAsia="Calibri" w:hAnsi="Arial" w:cs="Arial"/>
              </w:rPr>
            </w:pPr>
            <w:r w:rsidRPr="00746F54">
              <w:rPr>
                <w:rFonts w:ascii="Arial" w:eastAsia="Calibri" w:hAnsi="Arial" w:cs="Arial"/>
              </w:rPr>
              <w:t>$0.055 per MWh</w:t>
            </w:r>
          </w:p>
        </w:tc>
      </w:tr>
      <w:tr w:rsidR="00903C3A" w:rsidRPr="00746F54" w14:paraId="4BAD23C3" w14:textId="77777777" w:rsidTr="00D62922">
        <w:tc>
          <w:tcPr>
            <w:tcW w:w="2051" w:type="dxa"/>
          </w:tcPr>
          <w:p w14:paraId="793B95A9"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w:t>
            </w:r>
          </w:p>
        </w:tc>
        <w:tc>
          <w:tcPr>
            <w:tcW w:w="2362" w:type="dxa"/>
          </w:tcPr>
          <w:p w14:paraId="7DE9629C" w14:textId="77777777" w:rsidR="00903C3A" w:rsidRPr="00746F54" w:rsidRDefault="00903C3A" w:rsidP="00D62922">
            <w:pPr>
              <w:keepNext/>
              <w:keepLines/>
              <w:rPr>
                <w:rFonts w:ascii="Arial" w:eastAsia="Calibri" w:hAnsi="Arial" w:cs="Arial"/>
              </w:rPr>
            </w:pPr>
            <w:r w:rsidRPr="00746F54">
              <w:rPr>
                <w:rFonts w:ascii="Arial" w:eastAsia="Calibri" w:hAnsi="Arial" w:cs="Arial"/>
              </w:rPr>
              <w:t>$5,338,439</w:t>
            </w:r>
          </w:p>
        </w:tc>
        <w:tc>
          <w:tcPr>
            <w:tcW w:w="2453" w:type="dxa"/>
          </w:tcPr>
          <w:p w14:paraId="7D79025D" w14:textId="77777777" w:rsidR="00903C3A" w:rsidRPr="00746F54" w:rsidRDefault="00903C3A" w:rsidP="00D62922">
            <w:pPr>
              <w:keepNext/>
              <w:keepLines/>
              <w:rPr>
                <w:rFonts w:ascii="Arial" w:eastAsia="Calibri" w:hAnsi="Arial" w:cs="Arial"/>
              </w:rPr>
            </w:pPr>
            <w:r w:rsidRPr="00746F54">
              <w:rPr>
                <w:rFonts w:ascii="Arial" w:eastAsia="Calibri" w:hAnsi="Arial" w:cs="Arial"/>
              </w:rPr>
              <w:t>109,000,000</w:t>
            </w:r>
          </w:p>
        </w:tc>
        <w:tc>
          <w:tcPr>
            <w:tcW w:w="2484" w:type="dxa"/>
          </w:tcPr>
          <w:p w14:paraId="265CA831" w14:textId="77777777" w:rsidR="00903C3A" w:rsidRPr="00746F54" w:rsidRDefault="00903C3A" w:rsidP="00D62922">
            <w:pPr>
              <w:keepNext/>
              <w:keepLines/>
              <w:rPr>
                <w:rFonts w:ascii="Arial" w:eastAsia="Calibri" w:hAnsi="Arial" w:cs="Arial"/>
              </w:rPr>
            </w:pPr>
            <w:r w:rsidRPr="00746F54">
              <w:rPr>
                <w:rFonts w:ascii="Arial" w:eastAsia="Calibri" w:hAnsi="Arial" w:cs="Arial"/>
              </w:rPr>
              <w:t>$0.049 per MWh</w:t>
            </w:r>
          </w:p>
        </w:tc>
      </w:tr>
    </w:tbl>
    <w:p w14:paraId="4C41C003" w14:textId="77777777" w:rsidR="00903C3A" w:rsidRPr="00746F54" w:rsidRDefault="00903C3A" w:rsidP="00903C3A">
      <w:pPr>
        <w:rPr>
          <w:rFonts w:ascii="Arial" w:eastAsia="Calibri" w:hAnsi="Arial" w:cs="Arial"/>
          <w:sz w:val="18"/>
          <w:szCs w:val="18"/>
        </w:rPr>
      </w:pPr>
    </w:p>
    <w:p w14:paraId="11701A92" w14:textId="77777777" w:rsidR="00903C3A" w:rsidRPr="00746F54" w:rsidRDefault="00903C3A" w:rsidP="00903C3A">
      <w:pPr>
        <w:rPr>
          <w:rFonts w:ascii="Arial" w:eastAsia="Calibri" w:hAnsi="Arial" w:cs="Arial"/>
        </w:rPr>
      </w:pPr>
      <w:r w:rsidRPr="00746F54">
        <w:rPr>
          <w:rFonts w:ascii="Arial" w:eastAsia="Calibri" w:hAnsi="Arial" w:cs="Arial"/>
        </w:rPr>
        <w:t xml:space="preserve">The BAA-specific EDAM access charge rate is then applied to each BAA’s actual gross load and settled </w:t>
      </w:r>
      <w:proofErr w:type="gramStart"/>
      <w:r w:rsidRPr="00746F54">
        <w:rPr>
          <w:rFonts w:ascii="Arial" w:eastAsia="Calibri" w:hAnsi="Arial" w:cs="Arial"/>
        </w:rPr>
        <w:t>on a monthly basis</w:t>
      </w:r>
      <w:proofErr w:type="gramEnd"/>
      <w:r w:rsidRPr="00746F54">
        <w:rPr>
          <w:rFonts w:ascii="Arial" w:eastAsia="Calibri" w:hAnsi="Arial" w:cs="Arial"/>
        </w:rPr>
        <w:t>.  Table 9 illustrates the assessment of the EDAM access charge by BAA for 2026.</w:t>
      </w:r>
    </w:p>
    <w:p w14:paraId="14B80099" w14:textId="77777777" w:rsidR="00903C3A" w:rsidRPr="00746F54" w:rsidRDefault="00903C3A" w:rsidP="00903C3A">
      <w:pPr>
        <w:keepNext/>
        <w:keepLines/>
        <w:jc w:val="center"/>
        <w:rPr>
          <w:rFonts w:ascii="Arial" w:eastAsia="Calibri" w:hAnsi="Arial" w:cs="Arial"/>
          <w:b/>
        </w:rPr>
      </w:pPr>
      <w:r w:rsidRPr="00746F54">
        <w:rPr>
          <w:rFonts w:ascii="Arial" w:eastAsia="Calibri" w:hAnsi="Arial" w:cs="Arial"/>
          <w:b/>
        </w:rPr>
        <w:lastRenderedPageBreak/>
        <w:t>Table 9: Collection of EDAM Access Charge through 2026</w:t>
      </w:r>
    </w:p>
    <w:tbl>
      <w:tblPr>
        <w:tblStyle w:val="TableGrid1"/>
        <w:tblW w:w="9350" w:type="dxa"/>
        <w:tblLook w:val="04A0" w:firstRow="1" w:lastRow="0" w:firstColumn="1" w:lastColumn="0" w:noHBand="0" w:noVBand="1"/>
      </w:tblPr>
      <w:tblGrid>
        <w:gridCol w:w="2051"/>
        <w:gridCol w:w="2362"/>
        <w:gridCol w:w="2453"/>
        <w:gridCol w:w="2484"/>
      </w:tblGrid>
      <w:tr w:rsidR="00903C3A" w:rsidRPr="00746F54" w14:paraId="27391B62" w14:textId="77777777" w:rsidTr="00D62922">
        <w:tc>
          <w:tcPr>
            <w:tcW w:w="2051" w:type="dxa"/>
          </w:tcPr>
          <w:p w14:paraId="71FBB1D7"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2362" w:type="dxa"/>
          </w:tcPr>
          <w:p w14:paraId="5FE27127" w14:textId="77777777" w:rsidR="00903C3A" w:rsidRPr="00746F54" w:rsidRDefault="00903C3A" w:rsidP="00D62922">
            <w:pPr>
              <w:keepNext/>
              <w:keepLines/>
              <w:rPr>
                <w:rFonts w:ascii="Arial" w:eastAsia="Calibri" w:hAnsi="Arial" w:cs="Arial"/>
              </w:rPr>
            </w:pPr>
            <w:r w:rsidRPr="00746F54">
              <w:rPr>
                <w:rFonts w:ascii="Arial" w:eastAsia="Calibri" w:hAnsi="Arial" w:cs="Arial"/>
              </w:rPr>
              <w:t xml:space="preserve">Actual annual gross load (MWh) </w:t>
            </w:r>
          </w:p>
        </w:tc>
        <w:tc>
          <w:tcPr>
            <w:tcW w:w="2453" w:type="dxa"/>
          </w:tcPr>
          <w:p w14:paraId="0D1BBC50"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access charge rate</w:t>
            </w:r>
            <w:r w:rsidRPr="00746F54">
              <w:rPr>
                <w:rFonts w:ascii="Arial" w:eastAsia="Calibri" w:hAnsi="Arial" w:cs="Arial"/>
                <w:vertAlign w:val="superscript"/>
              </w:rPr>
              <w:footnoteReference w:id="6"/>
            </w:r>
            <w:r w:rsidRPr="00746F54" w:rsidDel="000D24D5">
              <w:rPr>
                <w:rFonts w:ascii="Arial" w:eastAsia="Calibri" w:hAnsi="Arial" w:cs="Arial"/>
              </w:rPr>
              <w:t xml:space="preserve"> </w:t>
            </w:r>
          </w:p>
        </w:tc>
        <w:tc>
          <w:tcPr>
            <w:tcW w:w="2484" w:type="dxa"/>
          </w:tcPr>
          <w:p w14:paraId="7C14060D" w14:textId="77777777" w:rsidR="00903C3A" w:rsidRPr="00746F54" w:rsidRDefault="00903C3A" w:rsidP="00D62922">
            <w:pPr>
              <w:keepNext/>
              <w:keepLines/>
              <w:rPr>
                <w:rFonts w:ascii="Arial" w:eastAsia="Calibri" w:hAnsi="Arial" w:cs="Arial"/>
              </w:rPr>
            </w:pPr>
            <w:r w:rsidRPr="00746F54">
              <w:rPr>
                <w:rFonts w:ascii="Arial" w:eastAsia="Calibri" w:hAnsi="Arial" w:cs="Arial"/>
              </w:rPr>
              <w:t xml:space="preserve">EDAM access charge assessed </w:t>
            </w:r>
          </w:p>
        </w:tc>
      </w:tr>
      <w:tr w:rsidR="00903C3A" w:rsidRPr="00746F54" w14:paraId="4894FCDB" w14:textId="77777777" w:rsidTr="00D62922">
        <w:tc>
          <w:tcPr>
            <w:tcW w:w="2051" w:type="dxa"/>
          </w:tcPr>
          <w:p w14:paraId="54DC3F6A"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w:t>
            </w:r>
          </w:p>
        </w:tc>
        <w:tc>
          <w:tcPr>
            <w:tcW w:w="2362" w:type="dxa"/>
          </w:tcPr>
          <w:p w14:paraId="2079A3EB" w14:textId="77777777" w:rsidR="00903C3A" w:rsidRPr="00746F54" w:rsidRDefault="00903C3A" w:rsidP="00D62922">
            <w:pPr>
              <w:keepNext/>
              <w:keepLines/>
              <w:rPr>
                <w:rFonts w:ascii="Arial" w:eastAsia="Calibri" w:hAnsi="Arial" w:cs="Arial"/>
              </w:rPr>
            </w:pPr>
            <w:r w:rsidRPr="00746F54">
              <w:rPr>
                <w:rFonts w:ascii="Arial" w:eastAsia="Calibri" w:hAnsi="Arial" w:cs="Arial"/>
              </w:rPr>
              <w:t>36,740,463</w:t>
            </w:r>
          </w:p>
        </w:tc>
        <w:tc>
          <w:tcPr>
            <w:tcW w:w="2453" w:type="dxa"/>
          </w:tcPr>
          <w:p w14:paraId="7592431D" w14:textId="77777777" w:rsidR="00903C3A" w:rsidRPr="00746F54" w:rsidRDefault="00903C3A" w:rsidP="00D62922">
            <w:pPr>
              <w:keepNext/>
              <w:keepLines/>
              <w:rPr>
                <w:rFonts w:ascii="Arial" w:eastAsia="Calibri" w:hAnsi="Arial" w:cs="Arial"/>
              </w:rPr>
            </w:pPr>
            <w:r w:rsidRPr="00746F54">
              <w:rPr>
                <w:rFonts w:ascii="Arial" w:eastAsia="Calibri" w:hAnsi="Arial" w:cs="Arial"/>
              </w:rPr>
              <w:t>$0.026 per MWh</w:t>
            </w:r>
          </w:p>
        </w:tc>
        <w:tc>
          <w:tcPr>
            <w:tcW w:w="2484" w:type="dxa"/>
          </w:tcPr>
          <w:p w14:paraId="07259A16" w14:textId="77777777" w:rsidR="00903C3A" w:rsidRPr="00746F54" w:rsidRDefault="00903C3A" w:rsidP="00D62922">
            <w:pPr>
              <w:keepNext/>
              <w:keepLines/>
              <w:rPr>
                <w:rFonts w:ascii="Arial" w:eastAsia="Calibri" w:hAnsi="Arial" w:cs="Arial"/>
              </w:rPr>
            </w:pPr>
            <w:r w:rsidRPr="00746F54">
              <w:rPr>
                <w:rFonts w:ascii="Arial" w:eastAsia="Calibri" w:hAnsi="Arial" w:cs="Arial"/>
              </w:rPr>
              <w:t>$950,000</w:t>
            </w:r>
          </w:p>
        </w:tc>
      </w:tr>
      <w:tr w:rsidR="00903C3A" w:rsidRPr="00746F54" w14:paraId="04DB5AE2" w14:textId="77777777" w:rsidTr="00D62922">
        <w:tc>
          <w:tcPr>
            <w:tcW w:w="2051" w:type="dxa"/>
          </w:tcPr>
          <w:p w14:paraId="16B5469C"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w:t>
            </w:r>
          </w:p>
        </w:tc>
        <w:tc>
          <w:tcPr>
            <w:tcW w:w="2362" w:type="dxa"/>
          </w:tcPr>
          <w:p w14:paraId="43629B79" w14:textId="77777777" w:rsidR="00903C3A" w:rsidRPr="00746F54" w:rsidRDefault="00903C3A" w:rsidP="00D62922">
            <w:pPr>
              <w:keepNext/>
              <w:keepLines/>
              <w:rPr>
                <w:rFonts w:ascii="Arial" w:eastAsia="Calibri" w:hAnsi="Arial" w:cs="Arial"/>
              </w:rPr>
            </w:pPr>
            <w:r w:rsidRPr="00746F54">
              <w:rPr>
                <w:rFonts w:ascii="Arial" w:eastAsia="Calibri" w:hAnsi="Arial" w:cs="Arial"/>
              </w:rPr>
              <w:t>15,489,158</w:t>
            </w:r>
          </w:p>
        </w:tc>
        <w:tc>
          <w:tcPr>
            <w:tcW w:w="2453" w:type="dxa"/>
          </w:tcPr>
          <w:p w14:paraId="38F351C4" w14:textId="77777777" w:rsidR="00903C3A" w:rsidRPr="00746F54" w:rsidRDefault="00903C3A" w:rsidP="00D62922">
            <w:pPr>
              <w:keepNext/>
              <w:keepLines/>
              <w:rPr>
                <w:rFonts w:ascii="Arial" w:eastAsia="Calibri" w:hAnsi="Arial" w:cs="Arial"/>
              </w:rPr>
            </w:pPr>
            <w:r w:rsidRPr="00746F54">
              <w:rPr>
                <w:rFonts w:ascii="Arial" w:eastAsia="Calibri" w:hAnsi="Arial" w:cs="Arial"/>
              </w:rPr>
              <w:t>$0.057 per MWh</w:t>
            </w:r>
          </w:p>
        </w:tc>
        <w:tc>
          <w:tcPr>
            <w:tcW w:w="2484" w:type="dxa"/>
          </w:tcPr>
          <w:p w14:paraId="699499C0" w14:textId="77777777" w:rsidR="00903C3A" w:rsidRPr="00746F54" w:rsidRDefault="00903C3A" w:rsidP="00D62922">
            <w:pPr>
              <w:keepNext/>
              <w:keepLines/>
              <w:rPr>
                <w:rFonts w:ascii="Arial" w:eastAsia="Calibri" w:hAnsi="Arial" w:cs="Arial"/>
              </w:rPr>
            </w:pPr>
            <w:r w:rsidRPr="00746F54">
              <w:rPr>
                <w:rFonts w:ascii="Arial" w:eastAsia="Calibri" w:hAnsi="Arial" w:cs="Arial"/>
              </w:rPr>
              <w:t>$886,000</w:t>
            </w:r>
          </w:p>
        </w:tc>
      </w:tr>
      <w:tr w:rsidR="00903C3A" w:rsidRPr="00746F54" w14:paraId="70AC15FC" w14:textId="77777777" w:rsidTr="00D62922">
        <w:tc>
          <w:tcPr>
            <w:tcW w:w="2051" w:type="dxa"/>
          </w:tcPr>
          <w:p w14:paraId="6E3A3470"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2362" w:type="dxa"/>
          </w:tcPr>
          <w:p w14:paraId="49FAB090" w14:textId="77777777" w:rsidR="00903C3A" w:rsidRPr="00746F54" w:rsidRDefault="00903C3A" w:rsidP="00D62922">
            <w:pPr>
              <w:keepNext/>
              <w:keepLines/>
              <w:rPr>
                <w:rFonts w:ascii="Arial" w:eastAsia="Calibri" w:hAnsi="Arial" w:cs="Arial"/>
              </w:rPr>
            </w:pPr>
            <w:r w:rsidRPr="00746F54">
              <w:rPr>
                <w:rFonts w:ascii="Arial" w:eastAsia="Calibri" w:hAnsi="Arial" w:cs="Arial"/>
              </w:rPr>
              <w:t>71,997,353</w:t>
            </w:r>
          </w:p>
        </w:tc>
        <w:tc>
          <w:tcPr>
            <w:tcW w:w="2453" w:type="dxa"/>
          </w:tcPr>
          <w:p w14:paraId="3154522A" w14:textId="77777777" w:rsidR="00903C3A" w:rsidRPr="00746F54" w:rsidRDefault="00903C3A" w:rsidP="00D62922">
            <w:pPr>
              <w:keepNext/>
              <w:keepLines/>
              <w:rPr>
                <w:rFonts w:ascii="Arial" w:eastAsia="Calibri" w:hAnsi="Arial" w:cs="Arial"/>
              </w:rPr>
            </w:pPr>
            <w:r w:rsidRPr="00746F54">
              <w:rPr>
                <w:rFonts w:ascii="Arial" w:eastAsia="Calibri" w:hAnsi="Arial" w:cs="Arial"/>
              </w:rPr>
              <w:t>$0.055 per MWh</w:t>
            </w:r>
          </w:p>
        </w:tc>
        <w:tc>
          <w:tcPr>
            <w:tcW w:w="2484" w:type="dxa"/>
          </w:tcPr>
          <w:p w14:paraId="0AE0E489" w14:textId="77777777" w:rsidR="00903C3A" w:rsidRPr="00746F54" w:rsidRDefault="00903C3A" w:rsidP="00D62922">
            <w:pPr>
              <w:keepNext/>
              <w:keepLines/>
              <w:rPr>
                <w:rFonts w:ascii="Arial" w:eastAsia="Calibri" w:hAnsi="Arial" w:cs="Arial"/>
              </w:rPr>
            </w:pPr>
            <w:r w:rsidRPr="00746F54">
              <w:rPr>
                <w:rFonts w:ascii="Arial" w:eastAsia="Calibri" w:hAnsi="Arial" w:cs="Arial"/>
              </w:rPr>
              <w:t>$3,960,000</w:t>
            </w:r>
          </w:p>
        </w:tc>
      </w:tr>
      <w:tr w:rsidR="00903C3A" w:rsidRPr="00746F54" w14:paraId="579DDBE8" w14:textId="77777777" w:rsidTr="00D62922">
        <w:tc>
          <w:tcPr>
            <w:tcW w:w="2051" w:type="dxa"/>
          </w:tcPr>
          <w:p w14:paraId="14D469EC"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w:t>
            </w:r>
          </w:p>
        </w:tc>
        <w:tc>
          <w:tcPr>
            <w:tcW w:w="2362" w:type="dxa"/>
          </w:tcPr>
          <w:p w14:paraId="33F04280" w14:textId="77777777" w:rsidR="00903C3A" w:rsidRPr="00746F54" w:rsidRDefault="00903C3A" w:rsidP="00D62922">
            <w:pPr>
              <w:keepNext/>
              <w:keepLines/>
              <w:rPr>
                <w:rFonts w:ascii="Arial" w:eastAsia="Calibri" w:hAnsi="Arial" w:cs="Arial"/>
              </w:rPr>
            </w:pPr>
            <w:r w:rsidRPr="00746F54">
              <w:rPr>
                <w:rFonts w:ascii="Arial" w:eastAsia="Calibri" w:hAnsi="Arial" w:cs="Arial"/>
              </w:rPr>
              <w:t>106,056,667</w:t>
            </w:r>
          </w:p>
        </w:tc>
        <w:tc>
          <w:tcPr>
            <w:tcW w:w="2453" w:type="dxa"/>
          </w:tcPr>
          <w:p w14:paraId="2333F215" w14:textId="77777777" w:rsidR="00903C3A" w:rsidRPr="00746F54" w:rsidRDefault="00903C3A" w:rsidP="00D62922">
            <w:pPr>
              <w:keepNext/>
              <w:keepLines/>
              <w:rPr>
                <w:rFonts w:ascii="Arial" w:eastAsia="Calibri" w:hAnsi="Arial" w:cs="Arial"/>
              </w:rPr>
            </w:pPr>
            <w:r w:rsidRPr="00746F54">
              <w:rPr>
                <w:rFonts w:ascii="Arial" w:eastAsia="Calibri" w:hAnsi="Arial" w:cs="Arial"/>
              </w:rPr>
              <w:t>$0.049 per MWh</w:t>
            </w:r>
          </w:p>
        </w:tc>
        <w:tc>
          <w:tcPr>
            <w:tcW w:w="2484" w:type="dxa"/>
          </w:tcPr>
          <w:p w14:paraId="1ADAD158" w14:textId="77777777" w:rsidR="00903C3A" w:rsidRPr="00746F54" w:rsidRDefault="00903C3A" w:rsidP="00D62922">
            <w:pPr>
              <w:keepNext/>
              <w:keepLines/>
              <w:rPr>
                <w:rFonts w:ascii="Arial" w:eastAsia="Calibri" w:hAnsi="Arial" w:cs="Arial"/>
              </w:rPr>
            </w:pPr>
            <w:r w:rsidRPr="00746F54">
              <w:rPr>
                <w:rFonts w:ascii="Arial" w:eastAsia="Calibri" w:hAnsi="Arial" w:cs="Arial"/>
              </w:rPr>
              <w:t>$5,210,000</w:t>
            </w:r>
          </w:p>
        </w:tc>
      </w:tr>
    </w:tbl>
    <w:p w14:paraId="5E0A434C" w14:textId="77777777" w:rsidR="00903C3A" w:rsidRPr="00746F54" w:rsidRDefault="00903C3A" w:rsidP="00903C3A">
      <w:pPr>
        <w:spacing w:after="0" w:line="240" w:lineRule="auto"/>
        <w:rPr>
          <w:rFonts w:ascii="Arial" w:eastAsia="Calibri" w:hAnsi="Arial" w:cs="Arial"/>
          <w:sz w:val="18"/>
          <w:szCs w:val="18"/>
        </w:rPr>
      </w:pPr>
    </w:p>
    <w:p w14:paraId="4AC4A9A7" w14:textId="77777777" w:rsidR="00903C3A" w:rsidRPr="00746F54" w:rsidRDefault="00903C3A" w:rsidP="00903C3A">
      <w:pPr>
        <w:rPr>
          <w:rFonts w:ascii="Arial" w:eastAsia="Calibri" w:hAnsi="Arial" w:cs="Arial"/>
        </w:rPr>
      </w:pPr>
      <w:r w:rsidRPr="00746F54">
        <w:rPr>
          <w:rFonts w:ascii="Arial" w:eastAsia="Calibri" w:hAnsi="Arial" w:cs="Arial"/>
        </w:rPr>
        <w:t xml:space="preserve">Table 10 illustrates the distribution of BAA-specific EDAM access charge revenue in pro-ration of the BAA total allocation of EDAM recoverable revenue to the  BAA-specific allocation of EDAM recoverable revenue as derived in Table 7.   </w:t>
      </w:r>
    </w:p>
    <w:p w14:paraId="75AD4CD9" w14:textId="77777777" w:rsidR="00903C3A" w:rsidRPr="00746F54" w:rsidRDefault="00903C3A" w:rsidP="00903C3A">
      <w:pPr>
        <w:jc w:val="center"/>
        <w:rPr>
          <w:rFonts w:ascii="Arial" w:eastAsia="Calibri" w:hAnsi="Arial" w:cs="Arial"/>
        </w:rPr>
      </w:pPr>
      <w:r w:rsidRPr="00746F54">
        <w:rPr>
          <w:rFonts w:ascii="Arial" w:eastAsia="Calibri" w:hAnsi="Arial" w:cs="Arial"/>
          <w:b/>
        </w:rPr>
        <w:t>Table 10: Distribution of EDAM Access Charge Collected Revenues (2026)</w:t>
      </w:r>
    </w:p>
    <w:tbl>
      <w:tblPr>
        <w:tblStyle w:val="TableGrid1"/>
        <w:tblW w:w="0" w:type="auto"/>
        <w:tblLook w:val="04A0" w:firstRow="1" w:lastRow="0" w:firstColumn="1" w:lastColumn="0" w:noHBand="0" w:noVBand="1"/>
      </w:tblPr>
      <w:tblGrid>
        <w:gridCol w:w="1714"/>
        <w:gridCol w:w="1596"/>
        <w:gridCol w:w="1555"/>
        <w:gridCol w:w="1650"/>
        <w:gridCol w:w="1517"/>
        <w:gridCol w:w="1318"/>
      </w:tblGrid>
      <w:tr w:rsidR="00903C3A" w:rsidRPr="00746F54" w14:paraId="489A3189" w14:textId="77777777" w:rsidTr="00D62922">
        <w:tc>
          <w:tcPr>
            <w:tcW w:w="1720" w:type="dxa"/>
          </w:tcPr>
          <w:p w14:paraId="146A113A" w14:textId="77777777" w:rsidR="00903C3A" w:rsidRPr="00746F54" w:rsidRDefault="00903C3A" w:rsidP="00D62922">
            <w:pPr>
              <w:rPr>
                <w:rFonts w:ascii="Arial" w:eastAsia="Calibri" w:hAnsi="Arial" w:cs="Arial"/>
              </w:rPr>
            </w:pPr>
            <w:r w:rsidRPr="00746F54">
              <w:rPr>
                <w:rFonts w:ascii="Arial" w:eastAsia="Calibri" w:hAnsi="Arial" w:cs="Arial"/>
              </w:rPr>
              <w:t>EDAM Entity transmission provider</w:t>
            </w:r>
          </w:p>
        </w:tc>
        <w:tc>
          <w:tcPr>
            <w:tcW w:w="1607" w:type="dxa"/>
          </w:tcPr>
          <w:p w14:paraId="4423A33B" w14:textId="77777777" w:rsidR="00903C3A" w:rsidRPr="00746F54" w:rsidRDefault="00903C3A" w:rsidP="00D62922">
            <w:pPr>
              <w:rPr>
                <w:rFonts w:ascii="Arial" w:eastAsia="Calibri" w:hAnsi="Arial" w:cs="Arial"/>
              </w:rPr>
            </w:pPr>
            <w:r w:rsidRPr="00746F54">
              <w:rPr>
                <w:rFonts w:ascii="Arial" w:eastAsia="Calibri" w:hAnsi="Arial" w:cs="Arial"/>
              </w:rPr>
              <w:t>BAA 1 – specific allocation</w:t>
            </w:r>
          </w:p>
        </w:tc>
        <w:tc>
          <w:tcPr>
            <w:tcW w:w="1565" w:type="dxa"/>
          </w:tcPr>
          <w:p w14:paraId="2639DB03" w14:textId="77777777" w:rsidR="00903C3A" w:rsidRPr="00746F54" w:rsidRDefault="00903C3A" w:rsidP="00D62922">
            <w:pPr>
              <w:rPr>
                <w:rFonts w:ascii="Arial" w:eastAsia="Calibri" w:hAnsi="Arial" w:cs="Arial"/>
              </w:rPr>
            </w:pPr>
            <w:r w:rsidRPr="00746F54">
              <w:rPr>
                <w:rFonts w:ascii="Arial" w:eastAsia="Calibri" w:hAnsi="Arial" w:cs="Arial"/>
              </w:rPr>
              <w:t xml:space="preserve">BAA 2 – specific allocation </w:t>
            </w:r>
          </w:p>
        </w:tc>
        <w:tc>
          <w:tcPr>
            <w:tcW w:w="1658" w:type="dxa"/>
          </w:tcPr>
          <w:p w14:paraId="1493CDFF" w14:textId="77777777" w:rsidR="00903C3A" w:rsidRPr="00746F54" w:rsidRDefault="00903C3A" w:rsidP="00D62922">
            <w:pPr>
              <w:rPr>
                <w:rFonts w:ascii="Arial" w:eastAsia="Calibri" w:hAnsi="Arial" w:cs="Arial"/>
              </w:rPr>
            </w:pPr>
            <w:r w:rsidRPr="00746F54">
              <w:rPr>
                <w:rFonts w:ascii="Arial" w:eastAsia="Calibri" w:hAnsi="Arial" w:cs="Arial"/>
              </w:rPr>
              <w:t xml:space="preserve">BAA 3 – specific allocation </w:t>
            </w:r>
          </w:p>
        </w:tc>
        <w:tc>
          <w:tcPr>
            <w:tcW w:w="1522" w:type="dxa"/>
          </w:tcPr>
          <w:p w14:paraId="05526331" w14:textId="77777777" w:rsidR="00903C3A" w:rsidRPr="00746F54" w:rsidRDefault="00903C3A" w:rsidP="00D62922">
            <w:pPr>
              <w:rPr>
                <w:rFonts w:ascii="Arial" w:eastAsia="Calibri" w:hAnsi="Arial" w:cs="Arial"/>
              </w:rPr>
            </w:pPr>
            <w:r w:rsidRPr="00746F54">
              <w:rPr>
                <w:rFonts w:ascii="Arial" w:eastAsia="Calibri" w:hAnsi="Arial" w:cs="Arial"/>
              </w:rPr>
              <w:t xml:space="preserve">BAA 4 – specific allocation </w:t>
            </w:r>
          </w:p>
        </w:tc>
        <w:tc>
          <w:tcPr>
            <w:tcW w:w="1278" w:type="dxa"/>
          </w:tcPr>
          <w:p w14:paraId="44B40114" w14:textId="77777777" w:rsidR="00903C3A" w:rsidRPr="00746F54" w:rsidRDefault="00903C3A" w:rsidP="00D62922">
            <w:pPr>
              <w:rPr>
                <w:rFonts w:ascii="Arial" w:eastAsia="Calibri" w:hAnsi="Arial" w:cs="Arial"/>
              </w:rPr>
            </w:pPr>
            <w:r w:rsidRPr="00746F54">
              <w:rPr>
                <w:rFonts w:ascii="Arial" w:eastAsia="Calibri" w:hAnsi="Arial" w:cs="Arial"/>
              </w:rPr>
              <w:t xml:space="preserve">BAA EDAM access charge revenue </w:t>
            </w:r>
          </w:p>
        </w:tc>
      </w:tr>
      <w:tr w:rsidR="00903C3A" w:rsidRPr="00746F54" w14:paraId="630CBE4F" w14:textId="77777777" w:rsidTr="00D62922">
        <w:tc>
          <w:tcPr>
            <w:tcW w:w="1720" w:type="dxa"/>
          </w:tcPr>
          <w:p w14:paraId="5E6B235E"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1607" w:type="dxa"/>
          </w:tcPr>
          <w:p w14:paraId="4F38BBBE"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565" w:type="dxa"/>
          </w:tcPr>
          <w:p w14:paraId="4E8745C2" w14:textId="77777777" w:rsidR="00903C3A" w:rsidRPr="00746F54" w:rsidRDefault="00903C3A" w:rsidP="00D62922">
            <w:pPr>
              <w:rPr>
                <w:rFonts w:ascii="Arial" w:eastAsia="Calibri" w:hAnsi="Arial" w:cs="Arial"/>
              </w:rPr>
            </w:pPr>
            <w:r w:rsidRPr="00746F54">
              <w:rPr>
                <w:rFonts w:ascii="Arial" w:eastAsia="Calibri" w:hAnsi="Arial" w:cs="Arial"/>
              </w:rPr>
              <w:t>$565,942</w:t>
            </w:r>
          </w:p>
        </w:tc>
        <w:tc>
          <w:tcPr>
            <w:tcW w:w="1658" w:type="dxa"/>
          </w:tcPr>
          <w:p w14:paraId="368C063C" w14:textId="77777777" w:rsidR="00903C3A" w:rsidRPr="00746F54" w:rsidRDefault="00903C3A" w:rsidP="00D62922">
            <w:pPr>
              <w:rPr>
                <w:rFonts w:ascii="Arial" w:eastAsia="Calibri" w:hAnsi="Arial" w:cs="Arial"/>
              </w:rPr>
            </w:pPr>
            <w:r w:rsidRPr="00746F54">
              <w:rPr>
                <w:rFonts w:ascii="Arial" w:eastAsia="Calibri" w:hAnsi="Arial" w:cs="Arial"/>
              </w:rPr>
              <w:t>$2,630,637</w:t>
            </w:r>
          </w:p>
        </w:tc>
        <w:tc>
          <w:tcPr>
            <w:tcW w:w="1522" w:type="dxa"/>
          </w:tcPr>
          <w:p w14:paraId="34D7EEB5" w14:textId="77777777" w:rsidR="00903C3A" w:rsidRPr="00746F54" w:rsidRDefault="00903C3A" w:rsidP="00D62922">
            <w:pPr>
              <w:rPr>
                <w:rFonts w:ascii="Arial" w:eastAsia="Calibri" w:hAnsi="Arial" w:cs="Arial"/>
              </w:rPr>
            </w:pPr>
            <w:r w:rsidRPr="00746F54">
              <w:rPr>
                <w:rFonts w:ascii="Arial" w:eastAsia="Calibri" w:hAnsi="Arial" w:cs="Arial"/>
              </w:rPr>
              <w:t>$3,875,095</w:t>
            </w:r>
          </w:p>
        </w:tc>
        <w:tc>
          <w:tcPr>
            <w:tcW w:w="1278" w:type="dxa"/>
          </w:tcPr>
          <w:p w14:paraId="5AED7776" w14:textId="77777777" w:rsidR="00903C3A" w:rsidRPr="00746F54" w:rsidRDefault="00903C3A" w:rsidP="00D62922">
            <w:pPr>
              <w:rPr>
                <w:rFonts w:ascii="Arial" w:eastAsia="Calibri" w:hAnsi="Arial" w:cs="Arial"/>
              </w:rPr>
            </w:pPr>
            <w:r w:rsidRPr="00746F54">
              <w:rPr>
                <w:rFonts w:ascii="Arial" w:eastAsia="Calibri" w:hAnsi="Arial" w:cs="Arial"/>
              </w:rPr>
              <w:t>$7,071,674</w:t>
            </w:r>
          </w:p>
        </w:tc>
      </w:tr>
      <w:tr w:rsidR="00903C3A" w:rsidRPr="00746F54" w14:paraId="2C194B4F" w14:textId="77777777" w:rsidTr="00D62922">
        <w:tc>
          <w:tcPr>
            <w:tcW w:w="1720" w:type="dxa"/>
          </w:tcPr>
          <w:p w14:paraId="7AEDD1BC"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1607" w:type="dxa"/>
          </w:tcPr>
          <w:p w14:paraId="10940EDD" w14:textId="77777777" w:rsidR="00903C3A" w:rsidRPr="00746F54" w:rsidRDefault="00903C3A" w:rsidP="00D62922">
            <w:pPr>
              <w:rPr>
                <w:rFonts w:ascii="Arial" w:eastAsia="Calibri" w:hAnsi="Arial" w:cs="Arial"/>
              </w:rPr>
            </w:pPr>
            <w:r w:rsidRPr="00746F54">
              <w:rPr>
                <w:rFonts w:ascii="Arial" w:eastAsia="Calibri" w:hAnsi="Arial" w:cs="Arial"/>
              </w:rPr>
              <w:t>$190,820</w:t>
            </w:r>
          </w:p>
        </w:tc>
        <w:tc>
          <w:tcPr>
            <w:tcW w:w="1565" w:type="dxa"/>
          </w:tcPr>
          <w:p w14:paraId="1B0AE79D"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658" w:type="dxa"/>
          </w:tcPr>
          <w:p w14:paraId="0C6435C6" w14:textId="77777777" w:rsidR="00903C3A" w:rsidRPr="00746F54" w:rsidRDefault="00903C3A" w:rsidP="00D62922">
            <w:pPr>
              <w:rPr>
                <w:rFonts w:ascii="Arial" w:eastAsia="Calibri" w:hAnsi="Arial" w:cs="Arial"/>
              </w:rPr>
            </w:pPr>
            <w:r w:rsidRPr="00746F54">
              <w:rPr>
                <w:rFonts w:ascii="Arial" w:eastAsia="Calibri" w:hAnsi="Arial" w:cs="Arial"/>
              </w:rPr>
              <w:t>$373,934</w:t>
            </w:r>
          </w:p>
        </w:tc>
        <w:tc>
          <w:tcPr>
            <w:tcW w:w="1522" w:type="dxa"/>
          </w:tcPr>
          <w:p w14:paraId="7B6FA832" w14:textId="77777777" w:rsidR="00903C3A" w:rsidRPr="00746F54" w:rsidRDefault="00903C3A" w:rsidP="00D62922">
            <w:pPr>
              <w:rPr>
                <w:rFonts w:ascii="Arial" w:eastAsia="Calibri" w:hAnsi="Arial" w:cs="Arial"/>
              </w:rPr>
            </w:pPr>
            <w:r w:rsidRPr="00746F54">
              <w:rPr>
                <w:rFonts w:ascii="Arial" w:eastAsia="Calibri" w:hAnsi="Arial" w:cs="Arial"/>
              </w:rPr>
              <w:t>$550,828</w:t>
            </w:r>
          </w:p>
        </w:tc>
        <w:tc>
          <w:tcPr>
            <w:tcW w:w="1278" w:type="dxa"/>
          </w:tcPr>
          <w:p w14:paraId="05947A02" w14:textId="77777777" w:rsidR="00903C3A" w:rsidRPr="00746F54" w:rsidRDefault="00903C3A" w:rsidP="00D62922">
            <w:pPr>
              <w:rPr>
                <w:rFonts w:ascii="Arial" w:eastAsia="Calibri" w:hAnsi="Arial" w:cs="Arial"/>
              </w:rPr>
            </w:pPr>
            <w:r w:rsidRPr="00746F54">
              <w:rPr>
                <w:rFonts w:ascii="Arial" w:eastAsia="Calibri" w:hAnsi="Arial" w:cs="Arial"/>
              </w:rPr>
              <w:t>$1,115,582</w:t>
            </w:r>
          </w:p>
        </w:tc>
      </w:tr>
      <w:tr w:rsidR="00903C3A" w:rsidRPr="00746F54" w14:paraId="2B063CA3" w14:textId="77777777" w:rsidTr="00D62922">
        <w:tc>
          <w:tcPr>
            <w:tcW w:w="1720" w:type="dxa"/>
          </w:tcPr>
          <w:p w14:paraId="616AF275"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1607" w:type="dxa"/>
          </w:tcPr>
          <w:p w14:paraId="5EE46DC2" w14:textId="77777777" w:rsidR="00903C3A" w:rsidRPr="00746F54" w:rsidRDefault="00903C3A" w:rsidP="00D62922">
            <w:pPr>
              <w:rPr>
                <w:rFonts w:ascii="Arial" w:eastAsia="Calibri" w:hAnsi="Arial" w:cs="Arial"/>
              </w:rPr>
            </w:pPr>
            <w:r w:rsidRPr="00746F54">
              <w:rPr>
                <w:rFonts w:ascii="Arial" w:eastAsia="Calibri" w:hAnsi="Arial" w:cs="Arial"/>
              </w:rPr>
              <w:t>$271,622</w:t>
            </w:r>
          </w:p>
        </w:tc>
        <w:tc>
          <w:tcPr>
            <w:tcW w:w="1565" w:type="dxa"/>
          </w:tcPr>
          <w:p w14:paraId="7C53A3F5" w14:textId="77777777" w:rsidR="00903C3A" w:rsidRPr="00746F54" w:rsidRDefault="00903C3A" w:rsidP="00D62922">
            <w:pPr>
              <w:rPr>
                <w:rFonts w:ascii="Arial" w:eastAsia="Calibri" w:hAnsi="Arial" w:cs="Arial"/>
              </w:rPr>
            </w:pPr>
            <w:r w:rsidRPr="00746F54">
              <w:rPr>
                <w:rFonts w:ascii="Arial" w:eastAsia="Calibri" w:hAnsi="Arial" w:cs="Arial"/>
              </w:rPr>
              <w:t>$114,511</w:t>
            </w:r>
          </w:p>
        </w:tc>
        <w:tc>
          <w:tcPr>
            <w:tcW w:w="1658" w:type="dxa"/>
          </w:tcPr>
          <w:p w14:paraId="2FC5F134"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522" w:type="dxa"/>
          </w:tcPr>
          <w:p w14:paraId="57C333D4" w14:textId="77777777" w:rsidR="00903C3A" w:rsidRPr="00746F54" w:rsidRDefault="00903C3A" w:rsidP="00D62922">
            <w:pPr>
              <w:rPr>
                <w:rFonts w:ascii="Arial" w:eastAsia="Calibri" w:hAnsi="Arial" w:cs="Arial"/>
              </w:rPr>
            </w:pPr>
            <w:r w:rsidRPr="00746F54">
              <w:rPr>
                <w:rFonts w:ascii="Arial" w:eastAsia="Calibri" w:hAnsi="Arial" w:cs="Arial"/>
              </w:rPr>
              <w:t>$784,077</w:t>
            </w:r>
          </w:p>
        </w:tc>
        <w:tc>
          <w:tcPr>
            <w:tcW w:w="1278" w:type="dxa"/>
          </w:tcPr>
          <w:p w14:paraId="76A820FB" w14:textId="77777777" w:rsidR="00903C3A" w:rsidRPr="00746F54" w:rsidRDefault="00903C3A" w:rsidP="00D62922">
            <w:pPr>
              <w:rPr>
                <w:rFonts w:ascii="Arial" w:eastAsia="Calibri" w:hAnsi="Arial" w:cs="Arial"/>
              </w:rPr>
            </w:pPr>
            <w:r w:rsidRPr="00746F54">
              <w:rPr>
                <w:rFonts w:ascii="Arial" w:eastAsia="Calibri" w:hAnsi="Arial" w:cs="Arial"/>
              </w:rPr>
              <w:t>$1,170,210</w:t>
            </w:r>
          </w:p>
        </w:tc>
      </w:tr>
      <w:tr w:rsidR="00903C3A" w:rsidRPr="00746F54" w14:paraId="675CC273" w14:textId="77777777" w:rsidTr="00D62922">
        <w:tc>
          <w:tcPr>
            <w:tcW w:w="1720" w:type="dxa"/>
          </w:tcPr>
          <w:p w14:paraId="29511202"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1607" w:type="dxa"/>
          </w:tcPr>
          <w:p w14:paraId="262C9392" w14:textId="77777777" w:rsidR="00903C3A" w:rsidRPr="00746F54" w:rsidRDefault="00903C3A" w:rsidP="00D62922">
            <w:pPr>
              <w:rPr>
                <w:rFonts w:ascii="Arial" w:eastAsia="Calibri" w:hAnsi="Arial" w:cs="Arial"/>
              </w:rPr>
            </w:pPr>
            <w:r w:rsidRPr="00746F54">
              <w:rPr>
                <w:rFonts w:ascii="Arial" w:eastAsia="Calibri" w:hAnsi="Arial" w:cs="Arial"/>
              </w:rPr>
              <w:t>$487,558</w:t>
            </w:r>
          </w:p>
        </w:tc>
        <w:tc>
          <w:tcPr>
            <w:tcW w:w="1565" w:type="dxa"/>
          </w:tcPr>
          <w:p w14:paraId="17260E66" w14:textId="77777777" w:rsidR="00903C3A" w:rsidRPr="00746F54" w:rsidRDefault="00903C3A" w:rsidP="00D62922">
            <w:pPr>
              <w:rPr>
                <w:rFonts w:ascii="Arial" w:eastAsia="Calibri" w:hAnsi="Arial" w:cs="Arial"/>
              </w:rPr>
            </w:pPr>
            <w:r w:rsidRPr="00746F54">
              <w:rPr>
                <w:rFonts w:ascii="Arial" w:eastAsia="Calibri" w:hAnsi="Arial" w:cs="Arial"/>
              </w:rPr>
              <w:t>$205,546</w:t>
            </w:r>
          </w:p>
        </w:tc>
        <w:tc>
          <w:tcPr>
            <w:tcW w:w="1658" w:type="dxa"/>
          </w:tcPr>
          <w:p w14:paraId="2A032809" w14:textId="77777777" w:rsidR="00903C3A" w:rsidRPr="00746F54" w:rsidRDefault="00903C3A" w:rsidP="00D62922">
            <w:pPr>
              <w:rPr>
                <w:rFonts w:ascii="Arial" w:eastAsia="Calibri" w:hAnsi="Arial" w:cs="Arial"/>
              </w:rPr>
            </w:pPr>
            <w:r w:rsidRPr="00746F54">
              <w:rPr>
                <w:rFonts w:ascii="Arial" w:eastAsia="Calibri" w:hAnsi="Arial" w:cs="Arial"/>
              </w:rPr>
              <w:t>$955,430</w:t>
            </w:r>
          </w:p>
        </w:tc>
        <w:tc>
          <w:tcPr>
            <w:tcW w:w="1522" w:type="dxa"/>
          </w:tcPr>
          <w:p w14:paraId="5623B7F6"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278" w:type="dxa"/>
          </w:tcPr>
          <w:p w14:paraId="33553847" w14:textId="77777777" w:rsidR="00903C3A" w:rsidRPr="00746F54" w:rsidRDefault="00903C3A" w:rsidP="00D62922">
            <w:pPr>
              <w:jc w:val="center"/>
              <w:rPr>
                <w:rFonts w:ascii="Arial" w:eastAsia="Calibri" w:hAnsi="Arial" w:cs="Arial"/>
              </w:rPr>
            </w:pPr>
            <w:r w:rsidRPr="00746F54">
              <w:rPr>
                <w:rFonts w:ascii="Arial" w:eastAsia="Calibri" w:hAnsi="Arial" w:cs="Arial"/>
              </w:rPr>
              <w:t>$1,648,534</w:t>
            </w:r>
          </w:p>
        </w:tc>
      </w:tr>
    </w:tbl>
    <w:p w14:paraId="6C9C9AA1" w14:textId="77777777" w:rsidR="00903C3A" w:rsidRPr="00746F54" w:rsidRDefault="00903C3A" w:rsidP="00903C3A">
      <w:pPr>
        <w:spacing w:after="0"/>
        <w:rPr>
          <w:rFonts w:ascii="Arial" w:eastAsia="Calibri" w:hAnsi="Arial" w:cs="Arial"/>
          <w:sz w:val="18"/>
          <w:szCs w:val="18"/>
        </w:rPr>
      </w:pPr>
    </w:p>
    <w:p w14:paraId="4EE4FF0F" w14:textId="77777777" w:rsidR="00903C3A" w:rsidRPr="00746F54" w:rsidRDefault="00903C3A" w:rsidP="00903C3A">
      <w:pPr>
        <w:spacing w:after="0"/>
        <w:rPr>
          <w:rFonts w:ascii="Arial" w:eastAsia="Calibri" w:hAnsi="Arial" w:cs="Arial"/>
          <w:b/>
          <w:bCs/>
          <w:i/>
          <w:u w:val="single"/>
        </w:rPr>
      </w:pPr>
      <w:r w:rsidRPr="00746F54">
        <w:rPr>
          <w:rFonts w:ascii="Arial" w:eastAsia="Calibri" w:hAnsi="Arial" w:cs="Arial"/>
          <w:b/>
          <w:bCs/>
          <w:i/>
          <w:u w:val="single"/>
        </w:rPr>
        <w:t>Annual True-Up of EDAM Recoverable Revenue</w:t>
      </w:r>
    </w:p>
    <w:p w14:paraId="4219C3EE" w14:textId="4A1E0BEF" w:rsidR="00903C3A" w:rsidRPr="00746F54" w:rsidRDefault="00903C3A" w:rsidP="00903C3A">
      <w:pPr>
        <w:spacing w:after="0"/>
        <w:rPr>
          <w:rFonts w:ascii="Arial" w:eastAsia="Calibri" w:hAnsi="Arial" w:cs="Arial"/>
        </w:rPr>
      </w:pPr>
      <w:r w:rsidRPr="00746F54">
        <w:rPr>
          <w:rFonts w:ascii="Arial" w:eastAsia="Calibri" w:hAnsi="Arial" w:cs="Arial"/>
        </w:rPr>
        <w:t xml:space="preserve">The EDAM access charge includes an annual true-up to help </w:t>
      </w:r>
      <w:proofErr w:type="gramStart"/>
      <w:r w:rsidRPr="00746F54">
        <w:rPr>
          <w:rFonts w:ascii="Arial" w:eastAsia="Calibri" w:hAnsi="Arial" w:cs="Arial"/>
        </w:rPr>
        <w:t>right-size</w:t>
      </w:r>
      <w:proofErr w:type="gramEnd"/>
      <w:r w:rsidRPr="00746F54">
        <w:rPr>
          <w:rFonts w:ascii="Arial" w:eastAsia="Calibri" w:hAnsi="Arial" w:cs="Arial"/>
        </w:rPr>
        <w:t xml:space="preserve"> the EDAM access charge year-to-year based on expected collections and actual collections.  Critically, the annual true-up also corrects any inaccurate projections based on actual collections each year.  </w:t>
      </w:r>
    </w:p>
    <w:p w14:paraId="717E675C" w14:textId="77777777" w:rsidR="00903C3A" w:rsidRPr="00746F54" w:rsidRDefault="00903C3A" w:rsidP="00903C3A">
      <w:pPr>
        <w:spacing w:after="0"/>
        <w:rPr>
          <w:rFonts w:ascii="Arial" w:eastAsia="Calibri" w:hAnsi="Arial" w:cs="Arial"/>
          <w:bCs/>
        </w:rPr>
      </w:pPr>
    </w:p>
    <w:p w14:paraId="195035D3" w14:textId="73AC81CF" w:rsidR="00903C3A" w:rsidRPr="00746F54" w:rsidRDefault="00903C3A" w:rsidP="00903C3A">
      <w:pPr>
        <w:spacing w:after="0"/>
        <w:rPr>
          <w:rFonts w:ascii="Arial" w:eastAsia="Calibri" w:hAnsi="Arial" w:cs="Arial"/>
        </w:rPr>
      </w:pPr>
      <w:r w:rsidRPr="00746F54">
        <w:rPr>
          <w:rFonts w:ascii="Arial" w:eastAsia="Calibri" w:hAnsi="Arial" w:cs="Arial"/>
        </w:rPr>
        <w:t xml:space="preserve">Table 11 identifies the different sources of short-term revenues for 2026.  </w:t>
      </w:r>
      <w:proofErr w:type="gramStart"/>
      <w:r w:rsidRPr="00746F54">
        <w:rPr>
          <w:rFonts w:ascii="Arial" w:eastAsia="Calibri" w:hAnsi="Arial" w:cs="Arial"/>
        </w:rPr>
        <w:t>For purposes of the</w:t>
      </w:r>
      <w:proofErr w:type="gramEnd"/>
      <w:r w:rsidRPr="00746F54">
        <w:rPr>
          <w:rFonts w:ascii="Arial" w:eastAsia="Calibri" w:hAnsi="Arial" w:cs="Arial"/>
        </w:rPr>
        <w:t xml:space="preserve"> example, assume the EDAM recoverable revenue estimated by the BAAs in Table 2 consists of the actual EDAM access charge amounts recovered by the CAISO and distributed to the BAA in 2026.  Because there </w:t>
      </w:r>
      <w:proofErr w:type="gramStart"/>
      <w:r w:rsidRPr="00746F54">
        <w:rPr>
          <w:rFonts w:ascii="Arial" w:eastAsia="Calibri" w:hAnsi="Arial" w:cs="Arial"/>
        </w:rPr>
        <w:t>were</w:t>
      </w:r>
      <w:proofErr w:type="gramEnd"/>
      <w:r w:rsidRPr="00746F54">
        <w:rPr>
          <w:rFonts w:ascii="Arial" w:eastAsia="Calibri" w:hAnsi="Arial" w:cs="Arial"/>
        </w:rPr>
        <w:t xml:space="preserve"> no component 2 and 3 revenues considered for the year 2026, the true-up example in Table 9 reflects true-up only to component 1.</w:t>
      </w:r>
    </w:p>
    <w:p w14:paraId="352DADCE" w14:textId="77777777" w:rsidR="00903C3A" w:rsidRPr="00746F54" w:rsidRDefault="00903C3A" w:rsidP="00903C3A">
      <w:pPr>
        <w:spacing w:after="0"/>
        <w:rPr>
          <w:rFonts w:ascii="Arial" w:eastAsia="Calibri" w:hAnsi="Arial" w:cs="Arial"/>
        </w:rPr>
      </w:pPr>
    </w:p>
    <w:p w14:paraId="34717C9F" w14:textId="77777777" w:rsidR="00903C3A" w:rsidRPr="00746F54" w:rsidRDefault="00903C3A" w:rsidP="00903C3A">
      <w:pPr>
        <w:keepNext/>
        <w:keepLines/>
        <w:jc w:val="center"/>
        <w:rPr>
          <w:rFonts w:ascii="Arial" w:eastAsia="Calibri" w:hAnsi="Arial" w:cs="Arial"/>
        </w:rPr>
      </w:pPr>
      <w:r w:rsidRPr="00746F54">
        <w:rPr>
          <w:rFonts w:ascii="Arial" w:eastAsia="Calibri" w:hAnsi="Arial" w:cs="Arial"/>
          <w:b/>
        </w:rPr>
        <w:lastRenderedPageBreak/>
        <w:t>Table 11: True-up of Component 1 Based on 2026 Actuals</w:t>
      </w:r>
    </w:p>
    <w:tbl>
      <w:tblPr>
        <w:tblStyle w:val="TableGrid1"/>
        <w:tblW w:w="9375" w:type="dxa"/>
        <w:tblLook w:val="04A0" w:firstRow="1" w:lastRow="0" w:firstColumn="1" w:lastColumn="0" w:noHBand="0" w:noVBand="1"/>
      </w:tblPr>
      <w:tblGrid>
        <w:gridCol w:w="1451"/>
        <w:gridCol w:w="1440"/>
        <w:gridCol w:w="1318"/>
        <w:gridCol w:w="1354"/>
        <w:gridCol w:w="1318"/>
        <w:gridCol w:w="1440"/>
        <w:gridCol w:w="1464"/>
      </w:tblGrid>
      <w:tr w:rsidR="00903C3A" w:rsidRPr="00746F54" w14:paraId="0C986E4F" w14:textId="77777777" w:rsidTr="00D62922">
        <w:trPr>
          <w:trHeight w:val="860"/>
        </w:trPr>
        <w:tc>
          <w:tcPr>
            <w:tcW w:w="1389" w:type="dxa"/>
          </w:tcPr>
          <w:p w14:paraId="00C6AFDD"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1394" w:type="dxa"/>
          </w:tcPr>
          <w:p w14:paraId="61556B6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Historical 3-year average of </w:t>
            </w:r>
            <w:proofErr w:type="gramStart"/>
            <w:r w:rsidRPr="00746F54">
              <w:rPr>
                <w:rFonts w:ascii="Arial" w:eastAsia="Calibri" w:hAnsi="Arial" w:cs="Arial"/>
              </w:rPr>
              <w:t>short term</w:t>
            </w:r>
            <w:proofErr w:type="gramEnd"/>
            <w:r w:rsidRPr="00746F54">
              <w:rPr>
                <w:rFonts w:ascii="Arial" w:eastAsia="Calibri" w:hAnsi="Arial" w:cs="Arial"/>
              </w:rPr>
              <w:t xml:space="preserve"> sales </w:t>
            </w:r>
          </w:p>
          <w:p w14:paraId="2507330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(e)</w:t>
            </w:r>
          </w:p>
        </w:tc>
        <w:tc>
          <w:tcPr>
            <w:tcW w:w="1367" w:type="dxa"/>
          </w:tcPr>
          <w:p w14:paraId="203C7CB7"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 xml:space="preserve">Revenues recovered through EDAM access charge </w:t>
            </w:r>
          </w:p>
          <w:p w14:paraId="4B8939AB"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(f)</w:t>
            </w:r>
          </w:p>
        </w:tc>
        <w:tc>
          <w:tcPr>
            <w:tcW w:w="1292" w:type="dxa"/>
          </w:tcPr>
          <w:p w14:paraId="6A76300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Net incremental wheel through transfers</w:t>
            </w:r>
          </w:p>
          <w:p w14:paraId="531CA33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(g)</w:t>
            </w:r>
          </w:p>
        </w:tc>
        <w:tc>
          <w:tcPr>
            <w:tcW w:w="1251" w:type="dxa"/>
          </w:tcPr>
          <w:p w14:paraId="0CAED47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Adjusted EDAM access charge revenue</w:t>
            </w:r>
          </w:p>
          <w:p w14:paraId="2A1AB93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(h) = (f – g)</w:t>
            </w:r>
          </w:p>
        </w:tc>
        <w:tc>
          <w:tcPr>
            <w:tcW w:w="1330" w:type="dxa"/>
          </w:tcPr>
          <w:p w14:paraId="5E4166B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EDAM Entity’s actual OATT sales of short-term products</w:t>
            </w:r>
          </w:p>
          <w:p w14:paraId="0E0DBF7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roofErr w:type="spellStart"/>
            <w:r w:rsidRPr="00746F54">
              <w:rPr>
                <w:rFonts w:ascii="Arial" w:eastAsia="Calibri" w:hAnsi="Arial" w:cs="Arial"/>
              </w:rPr>
              <w:t>i</w:t>
            </w:r>
            <w:proofErr w:type="spellEnd"/>
            <w:r w:rsidRPr="00746F54">
              <w:rPr>
                <w:rFonts w:ascii="Arial" w:eastAsia="Calibri" w:hAnsi="Arial" w:cs="Arial"/>
              </w:rPr>
              <w:t>)</w:t>
            </w:r>
          </w:p>
        </w:tc>
        <w:tc>
          <w:tcPr>
            <w:tcW w:w="1352" w:type="dxa"/>
          </w:tcPr>
          <w:p w14:paraId="4076006F"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True-up amount for 2027 EDAM access charge</w:t>
            </w:r>
          </w:p>
          <w:p w14:paraId="09FB668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(j) = (f +</w:t>
            </w:r>
            <w:proofErr w:type="spellStart"/>
            <w:r w:rsidRPr="00746F54">
              <w:rPr>
                <w:rFonts w:ascii="Arial" w:eastAsia="Calibri" w:hAnsi="Arial" w:cs="Arial"/>
              </w:rPr>
              <w:t>i</w:t>
            </w:r>
            <w:proofErr w:type="spellEnd"/>
            <w:r w:rsidRPr="00746F54">
              <w:rPr>
                <w:rFonts w:ascii="Arial" w:eastAsia="Calibri" w:hAnsi="Arial" w:cs="Arial"/>
              </w:rPr>
              <w:t>) – (e)</w:t>
            </w:r>
          </w:p>
        </w:tc>
      </w:tr>
      <w:tr w:rsidR="00903C3A" w:rsidRPr="00746F54" w14:paraId="33CF1B41" w14:textId="77777777" w:rsidTr="00D62922">
        <w:trPr>
          <w:trHeight w:val="210"/>
        </w:trPr>
        <w:tc>
          <w:tcPr>
            <w:tcW w:w="1389" w:type="dxa"/>
          </w:tcPr>
          <w:p w14:paraId="4ECC817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1</w:t>
            </w:r>
          </w:p>
        </w:tc>
        <w:tc>
          <w:tcPr>
            <w:tcW w:w="1394" w:type="dxa"/>
          </w:tcPr>
          <w:p w14:paraId="168EEDD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$14,242,500</w:t>
            </w:r>
          </w:p>
        </w:tc>
        <w:tc>
          <w:tcPr>
            <w:tcW w:w="1367" w:type="dxa"/>
          </w:tcPr>
          <w:p w14:paraId="0446715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$7,071,674</w:t>
            </w:r>
          </w:p>
        </w:tc>
        <w:tc>
          <w:tcPr>
            <w:tcW w:w="1292" w:type="dxa"/>
          </w:tcPr>
          <w:p w14:paraId="1D7737E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251" w:type="dxa"/>
          </w:tcPr>
          <w:p w14:paraId="01A95BB7"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$7,071,674</w:t>
            </w:r>
          </w:p>
        </w:tc>
        <w:tc>
          <w:tcPr>
            <w:tcW w:w="1330" w:type="dxa"/>
          </w:tcPr>
          <w:p w14:paraId="59301C13"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$7,170,826</w:t>
            </w:r>
          </w:p>
        </w:tc>
        <w:tc>
          <w:tcPr>
            <w:tcW w:w="1352" w:type="dxa"/>
          </w:tcPr>
          <w:p w14:paraId="25B1DF45"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$0</w:t>
            </w:r>
          </w:p>
        </w:tc>
      </w:tr>
      <w:tr w:rsidR="00903C3A" w:rsidRPr="00746F54" w14:paraId="19B13FBD" w14:textId="77777777" w:rsidTr="00D62922">
        <w:trPr>
          <w:trHeight w:val="210"/>
        </w:trPr>
        <w:tc>
          <w:tcPr>
            <w:tcW w:w="1389" w:type="dxa"/>
          </w:tcPr>
          <w:p w14:paraId="2B55678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2</w:t>
            </w:r>
          </w:p>
        </w:tc>
        <w:tc>
          <w:tcPr>
            <w:tcW w:w="1394" w:type="dxa"/>
          </w:tcPr>
          <w:p w14:paraId="0670800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$3,600,000</w:t>
            </w:r>
          </w:p>
        </w:tc>
        <w:tc>
          <w:tcPr>
            <w:tcW w:w="1367" w:type="dxa"/>
          </w:tcPr>
          <w:p w14:paraId="24EB6C6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$1,115,582</w:t>
            </w:r>
          </w:p>
        </w:tc>
        <w:tc>
          <w:tcPr>
            <w:tcW w:w="1292" w:type="dxa"/>
          </w:tcPr>
          <w:p w14:paraId="76AB3EB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251" w:type="dxa"/>
          </w:tcPr>
          <w:p w14:paraId="22916692"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$1,115,582</w:t>
            </w:r>
          </w:p>
        </w:tc>
        <w:tc>
          <w:tcPr>
            <w:tcW w:w="1330" w:type="dxa"/>
          </w:tcPr>
          <w:p w14:paraId="3F18A729"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$1,484,418</w:t>
            </w:r>
          </w:p>
        </w:tc>
        <w:tc>
          <w:tcPr>
            <w:tcW w:w="1352" w:type="dxa"/>
          </w:tcPr>
          <w:p w14:paraId="2FD1AB9C" w14:textId="77777777" w:rsidR="00903C3A" w:rsidRPr="00746F54" w:rsidRDefault="00903C3A" w:rsidP="00D62922">
            <w:pPr>
              <w:keepNext/>
              <w:keepLines/>
              <w:jc w:val="center"/>
              <w:rPr>
                <w:rFonts w:ascii="Arial" w:eastAsia="Calibri" w:hAnsi="Arial" w:cs="Arial"/>
                <w:color w:val="FF0000"/>
              </w:rPr>
            </w:pPr>
            <w:r w:rsidRPr="00746F54">
              <w:rPr>
                <w:rFonts w:ascii="Arial" w:eastAsia="Calibri" w:hAnsi="Arial" w:cs="Arial"/>
                <w:color w:val="FF0000"/>
              </w:rPr>
              <w:t>($1,000,000)</w:t>
            </w:r>
          </w:p>
        </w:tc>
      </w:tr>
      <w:tr w:rsidR="00903C3A" w:rsidRPr="00746F54" w14:paraId="78D0CD5B" w14:textId="77777777" w:rsidTr="00D62922">
        <w:trPr>
          <w:trHeight w:val="210"/>
        </w:trPr>
        <w:tc>
          <w:tcPr>
            <w:tcW w:w="1389" w:type="dxa"/>
          </w:tcPr>
          <w:p w14:paraId="3FE6F4C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3</w:t>
            </w:r>
          </w:p>
        </w:tc>
        <w:tc>
          <w:tcPr>
            <w:tcW w:w="1394" w:type="dxa"/>
          </w:tcPr>
          <w:p w14:paraId="1A48415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$4,750,000</w:t>
            </w:r>
          </w:p>
        </w:tc>
        <w:tc>
          <w:tcPr>
            <w:tcW w:w="1367" w:type="dxa"/>
          </w:tcPr>
          <w:p w14:paraId="60FF8D6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$1,170,210</w:t>
            </w:r>
          </w:p>
        </w:tc>
        <w:tc>
          <w:tcPr>
            <w:tcW w:w="1292" w:type="dxa"/>
          </w:tcPr>
          <w:p w14:paraId="46E0B0B6"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251" w:type="dxa"/>
          </w:tcPr>
          <w:p w14:paraId="34E81F7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$1,170,210</w:t>
            </w:r>
          </w:p>
        </w:tc>
        <w:tc>
          <w:tcPr>
            <w:tcW w:w="1330" w:type="dxa"/>
          </w:tcPr>
          <w:p w14:paraId="480C00E8"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$4,079,790</w:t>
            </w:r>
          </w:p>
        </w:tc>
        <w:tc>
          <w:tcPr>
            <w:tcW w:w="1352" w:type="dxa"/>
          </w:tcPr>
          <w:p w14:paraId="0F8B949C"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$500,000</w:t>
            </w:r>
          </w:p>
        </w:tc>
      </w:tr>
      <w:tr w:rsidR="00903C3A" w:rsidRPr="00746F54" w14:paraId="6FDFE50E" w14:textId="77777777" w:rsidTr="00D62922">
        <w:trPr>
          <w:trHeight w:val="210"/>
        </w:trPr>
        <w:tc>
          <w:tcPr>
            <w:tcW w:w="1389" w:type="dxa"/>
          </w:tcPr>
          <w:p w14:paraId="7D630E19"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BAA 4</w:t>
            </w:r>
          </w:p>
        </w:tc>
        <w:tc>
          <w:tcPr>
            <w:tcW w:w="1394" w:type="dxa"/>
          </w:tcPr>
          <w:p w14:paraId="5C20C09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$30,700,000</w:t>
            </w:r>
          </w:p>
        </w:tc>
        <w:tc>
          <w:tcPr>
            <w:tcW w:w="1367" w:type="dxa"/>
          </w:tcPr>
          <w:p w14:paraId="6F89C6F5"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$1,648,534</w:t>
            </w:r>
          </w:p>
        </w:tc>
        <w:tc>
          <w:tcPr>
            <w:tcW w:w="1292" w:type="dxa"/>
          </w:tcPr>
          <w:p w14:paraId="13A29E3E"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251" w:type="dxa"/>
          </w:tcPr>
          <w:p w14:paraId="609D601A"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$1,648,534</w:t>
            </w:r>
          </w:p>
        </w:tc>
        <w:tc>
          <w:tcPr>
            <w:tcW w:w="1330" w:type="dxa"/>
          </w:tcPr>
          <w:p w14:paraId="107CAC66"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$29,051,466</w:t>
            </w:r>
          </w:p>
        </w:tc>
        <w:tc>
          <w:tcPr>
            <w:tcW w:w="1352" w:type="dxa"/>
          </w:tcPr>
          <w:p w14:paraId="19EE8E90"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$0</w:t>
            </w:r>
          </w:p>
        </w:tc>
      </w:tr>
    </w:tbl>
    <w:p w14:paraId="7B633382" w14:textId="77777777" w:rsidR="00903C3A" w:rsidRPr="00746F54" w:rsidRDefault="00903C3A" w:rsidP="00903C3A">
      <w:pPr>
        <w:spacing w:after="0"/>
        <w:rPr>
          <w:rFonts w:ascii="Arial" w:eastAsia="Calibri" w:hAnsi="Arial" w:cs="Arial"/>
          <w:sz w:val="18"/>
          <w:szCs w:val="18"/>
        </w:rPr>
      </w:pPr>
    </w:p>
    <w:p w14:paraId="27BBF1F2" w14:textId="77777777" w:rsidR="00903C3A" w:rsidRPr="00746F54" w:rsidRDefault="00903C3A" w:rsidP="00903C3A">
      <w:pPr>
        <w:spacing w:after="0"/>
        <w:rPr>
          <w:rFonts w:ascii="Arial" w:eastAsia="Calibri" w:hAnsi="Arial" w:cs="Arial"/>
        </w:rPr>
      </w:pPr>
      <w:r w:rsidRPr="00746F54">
        <w:rPr>
          <w:rFonts w:ascii="Arial" w:eastAsia="Calibri" w:hAnsi="Arial" w:cs="Arial"/>
        </w:rPr>
        <w:t xml:space="preserve">In Table 11, BAA 1 and BAA 4 recovered between the EDAM access charge revenues and their actual OATT sales of short-term products the exact amounts to cover their historical 3-year averages of short-term sales.  As such, no true-up is necessary.  However, BAA </w:t>
      </w:r>
      <w:proofErr w:type="gramStart"/>
      <w:r w:rsidRPr="00746F54">
        <w:rPr>
          <w:rFonts w:ascii="Arial" w:eastAsia="Calibri" w:hAnsi="Arial" w:cs="Arial"/>
        </w:rPr>
        <w:t>2 under-</w:t>
      </w:r>
      <w:proofErr w:type="gramEnd"/>
      <w:r w:rsidRPr="00746F54">
        <w:rPr>
          <w:rFonts w:ascii="Arial" w:eastAsia="Calibri" w:hAnsi="Arial" w:cs="Arial"/>
        </w:rPr>
        <w:t xml:space="preserve">recovered $1,000,000, and BAA </w:t>
      </w:r>
      <w:proofErr w:type="gramStart"/>
      <w:r w:rsidRPr="00746F54">
        <w:rPr>
          <w:rFonts w:ascii="Arial" w:eastAsia="Calibri" w:hAnsi="Arial" w:cs="Arial"/>
        </w:rPr>
        <w:t>3 over-</w:t>
      </w:r>
      <w:proofErr w:type="gramEnd"/>
      <w:r w:rsidRPr="00746F54">
        <w:rPr>
          <w:rFonts w:ascii="Arial" w:eastAsia="Calibri" w:hAnsi="Arial" w:cs="Arial"/>
        </w:rPr>
        <w:t>recovered $500,000.  These amounts for BAA 2 and BAA 3 will be carried forward into the 2027 EDAM access charge.</w:t>
      </w:r>
    </w:p>
    <w:p w14:paraId="703DA428" w14:textId="77777777" w:rsidR="00903C3A" w:rsidRPr="00746F54" w:rsidRDefault="00903C3A" w:rsidP="00903C3A">
      <w:pPr>
        <w:spacing w:after="0"/>
        <w:rPr>
          <w:rFonts w:ascii="Arial" w:eastAsia="Calibri" w:hAnsi="Arial" w:cs="Arial"/>
        </w:rPr>
      </w:pPr>
    </w:p>
    <w:p w14:paraId="07CF8B2B" w14:textId="77777777" w:rsidR="00903C3A" w:rsidRPr="00746F54" w:rsidRDefault="00903C3A" w:rsidP="00903C3A">
      <w:pPr>
        <w:spacing w:after="0"/>
        <w:rPr>
          <w:rFonts w:ascii="Arial" w:eastAsia="Calibri" w:hAnsi="Arial" w:cs="Arial"/>
        </w:rPr>
      </w:pPr>
      <w:r w:rsidRPr="00746F54">
        <w:rPr>
          <w:rFonts w:ascii="Arial" w:eastAsia="Calibri" w:hAnsi="Arial" w:cs="Arial"/>
        </w:rPr>
        <w:t xml:space="preserve">Table 12 illustrates how the true-up and components 2 and 3 will comprise the EDAM access charge for 2027. </w:t>
      </w:r>
    </w:p>
    <w:p w14:paraId="401AB52E" w14:textId="77777777" w:rsidR="00903C3A" w:rsidRPr="00746F54" w:rsidRDefault="00903C3A" w:rsidP="00903C3A">
      <w:pPr>
        <w:spacing w:after="0" w:line="240" w:lineRule="auto"/>
        <w:rPr>
          <w:rFonts w:ascii="Arial" w:eastAsia="Calibri" w:hAnsi="Arial" w:cs="Arial"/>
        </w:rPr>
      </w:pPr>
    </w:p>
    <w:p w14:paraId="5BA58744" w14:textId="77777777" w:rsidR="00903C3A" w:rsidRPr="00746F54" w:rsidRDefault="00903C3A" w:rsidP="00903C3A">
      <w:pPr>
        <w:keepNext/>
        <w:keepLines/>
        <w:jc w:val="center"/>
        <w:rPr>
          <w:rFonts w:ascii="Arial" w:eastAsia="Calibri" w:hAnsi="Arial" w:cs="Arial"/>
        </w:rPr>
      </w:pPr>
      <w:r w:rsidRPr="00746F54">
        <w:rPr>
          <w:rFonts w:ascii="Arial" w:eastAsia="Calibri" w:hAnsi="Arial" w:cs="Arial"/>
          <w:b/>
        </w:rPr>
        <w:t>Table 12: 2027 EDAM Access Charge Inputs</w:t>
      </w:r>
      <w:r w:rsidRPr="00746F54">
        <w:rPr>
          <w:rFonts w:ascii="Arial" w:eastAsia="Calibri" w:hAnsi="Arial" w:cs="Arial"/>
        </w:rPr>
        <w:t>.</w:t>
      </w:r>
    </w:p>
    <w:tbl>
      <w:tblPr>
        <w:tblStyle w:val="TableGrid1"/>
        <w:tblW w:w="10345" w:type="dxa"/>
        <w:tblLayout w:type="fixed"/>
        <w:tblLook w:val="04A0" w:firstRow="1" w:lastRow="0" w:firstColumn="1" w:lastColumn="0" w:noHBand="0" w:noVBand="1"/>
      </w:tblPr>
      <w:tblGrid>
        <w:gridCol w:w="1850"/>
        <w:gridCol w:w="2001"/>
        <w:gridCol w:w="1926"/>
        <w:gridCol w:w="1680"/>
        <w:gridCol w:w="1268"/>
        <w:gridCol w:w="1620"/>
      </w:tblGrid>
      <w:tr w:rsidR="00903C3A" w:rsidRPr="00746F54" w14:paraId="5C3B8DD5" w14:textId="77777777" w:rsidTr="00D62922">
        <w:trPr>
          <w:trHeight w:val="1077"/>
        </w:trPr>
        <w:tc>
          <w:tcPr>
            <w:tcW w:w="1850" w:type="dxa"/>
          </w:tcPr>
          <w:p w14:paraId="78432892" w14:textId="77777777" w:rsidR="00903C3A" w:rsidRPr="00746F54" w:rsidRDefault="00903C3A" w:rsidP="00D62922">
            <w:pPr>
              <w:keepNext/>
              <w:keepLines/>
              <w:rPr>
                <w:rFonts w:ascii="Arial" w:eastAsia="Calibri" w:hAnsi="Arial" w:cs="Arial"/>
              </w:rPr>
            </w:pPr>
            <w:r w:rsidRPr="00746F54">
              <w:rPr>
                <w:rFonts w:ascii="Arial" w:eastAsia="Calibri" w:hAnsi="Arial" w:cs="Arial"/>
              </w:rPr>
              <w:t>EDAM Entity transmission provider</w:t>
            </w:r>
          </w:p>
        </w:tc>
        <w:tc>
          <w:tcPr>
            <w:tcW w:w="2001" w:type="dxa"/>
          </w:tcPr>
          <w:p w14:paraId="43786652" w14:textId="77777777" w:rsidR="00903C3A" w:rsidRPr="00746F54" w:rsidRDefault="00903C3A" w:rsidP="00D62922">
            <w:pPr>
              <w:keepNext/>
              <w:keepLines/>
              <w:rPr>
                <w:rFonts w:ascii="Arial" w:eastAsia="Calibri" w:hAnsi="Arial" w:cs="Arial"/>
              </w:rPr>
            </w:pPr>
            <w:r w:rsidRPr="00746F54">
              <w:rPr>
                <w:rFonts w:ascii="Arial" w:eastAsia="Calibri" w:hAnsi="Arial" w:cs="Arial"/>
              </w:rPr>
              <w:t>Historical 3-year average of short-term sales</w:t>
            </w:r>
          </w:p>
        </w:tc>
        <w:tc>
          <w:tcPr>
            <w:tcW w:w="1926" w:type="dxa"/>
          </w:tcPr>
          <w:p w14:paraId="7CFA263C" w14:textId="77777777" w:rsidR="00903C3A" w:rsidRPr="00746F54" w:rsidRDefault="00903C3A" w:rsidP="00D62922">
            <w:pPr>
              <w:keepNext/>
              <w:keepLines/>
              <w:rPr>
                <w:rFonts w:ascii="Arial" w:eastAsia="Calibri" w:hAnsi="Arial" w:cs="Arial"/>
              </w:rPr>
            </w:pPr>
            <w:r w:rsidRPr="00746F54">
              <w:rPr>
                <w:rFonts w:ascii="Arial" w:eastAsia="Calibri" w:hAnsi="Arial" w:cs="Arial"/>
              </w:rPr>
              <w:t>New network upgrades</w:t>
            </w:r>
          </w:p>
        </w:tc>
        <w:tc>
          <w:tcPr>
            <w:tcW w:w="1680" w:type="dxa"/>
          </w:tcPr>
          <w:p w14:paraId="2399D2D2" w14:textId="77777777" w:rsidR="00903C3A" w:rsidRPr="00746F54" w:rsidRDefault="00903C3A" w:rsidP="00D62922">
            <w:pPr>
              <w:keepNext/>
              <w:keepLines/>
              <w:rPr>
                <w:rFonts w:ascii="Arial" w:eastAsia="Calibri" w:hAnsi="Arial" w:cs="Arial"/>
              </w:rPr>
            </w:pPr>
            <w:r w:rsidRPr="00746F54">
              <w:rPr>
                <w:rFonts w:ascii="Arial" w:eastAsia="Calibri" w:hAnsi="Arial" w:cs="Arial"/>
              </w:rPr>
              <w:t>Net incremental wheeling-through transfers</w:t>
            </w:r>
          </w:p>
        </w:tc>
        <w:tc>
          <w:tcPr>
            <w:tcW w:w="1268" w:type="dxa"/>
          </w:tcPr>
          <w:p w14:paraId="5F39820D" w14:textId="77777777" w:rsidR="00903C3A" w:rsidRPr="00746F54" w:rsidRDefault="00903C3A" w:rsidP="00D62922">
            <w:pPr>
              <w:keepNext/>
              <w:keepLines/>
              <w:rPr>
                <w:rFonts w:ascii="Arial" w:eastAsia="Calibri" w:hAnsi="Arial" w:cs="Arial"/>
              </w:rPr>
            </w:pPr>
            <w:r w:rsidRPr="00746F54">
              <w:rPr>
                <w:rFonts w:ascii="Arial" w:eastAsia="Calibri" w:hAnsi="Arial" w:cs="Arial"/>
              </w:rPr>
              <w:t>True-up from 2026</w:t>
            </w:r>
          </w:p>
        </w:tc>
        <w:tc>
          <w:tcPr>
            <w:tcW w:w="1620" w:type="dxa"/>
          </w:tcPr>
          <w:p w14:paraId="3C3F1CAB" w14:textId="77777777" w:rsidR="00903C3A" w:rsidRPr="00746F54" w:rsidRDefault="00903C3A" w:rsidP="00D62922">
            <w:pPr>
              <w:keepNext/>
              <w:keepLines/>
              <w:rPr>
                <w:rFonts w:ascii="Arial" w:eastAsia="Calibri" w:hAnsi="Arial" w:cs="Arial"/>
              </w:rPr>
            </w:pPr>
            <w:r w:rsidRPr="00746F54">
              <w:rPr>
                <w:rFonts w:ascii="Arial" w:eastAsia="Calibri" w:hAnsi="Arial" w:cs="Arial"/>
              </w:rPr>
              <w:t>Costs to be Recovered through OATT and EDAM</w:t>
            </w:r>
          </w:p>
        </w:tc>
      </w:tr>
      <w:tr w:rsidR="00903C3A" w:rsidRPr="00746F54" w14:paraId="50F50AB7" w14:textId="77777777" w:rsidTr="00D62922">
        <w:trPr>
          <w:trHeight w:val="263"/>
        </w:trPr>
        <w:tc>
          <w:tcPr>
            <w:tcW w:w="1850" w:type="dxa"/>
          </w:tcPr>
          <w:p w14:paraId="73BD09AE"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1</w:t>
            </w:r>
          </w:p>
        </w:tc>
        <w:tc>
          <w:tcPr>
            <w:tcW w:w="2001" w:type="dxa"/>
          </w:tcPr>
          <w:p w14:paraId="3629483B" w14:textId="77777777" w:rsidR="00903C3A" w:rsidRPr="00746F54" w:rsidRDefault="00903C3A" w:rsidP="00D62922">
            <w:pPr>
              <w:keepNext/>
              <w:keepLines/>
              <w:rPr>
                <w:rFonts w:ascii="Arial" w:eastAsia="Calibri" w:hAnsi="Arial" w:cs="Arial"/>
              </w:rPr>
            </w:pPr>
            <w:r w:rsidRPr="00746F54">
              <w:rPr>
                <w:rFonts w:ascii="Arial" w:eastAsia="Calibri" w:hAnsi="Arial" w:cs="Arial"/>
              </w:rPr>
              <w:t>$14,242,500</w:t>
            </w:r>
          </w:p>
        </w:tc>
        <w:tc>
          <w:tcPr>
            <w:tcW w:w="1926" w:type="dxa"/>
          </w:tcPr>
          <w:p w14:paraId="68C4C830"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680" w:type="dxa"/>
          </w:tcPr>
          <w:p w14:paraId="6040C196" w14:textId="77777777" w:rsidR="00903C3A" w:rsidRPr="00746F54" w:rsidRDefault="00903C3A" w:rsidP="00D62922">
            <w:pPr>
              <w:keepNext/>
              <w:keepLines/>
              <w:rPr>
                <w:rFonts w:ascii="Arial" w:eastAsia="Calibri" w:hAnsi="Arial" w:cs="Arial"/>
              </w:rPr>
            </w:pPr>
            <w:r w:rsidRPr="00746F54">
              <w:rPr>
                <w:rFonts w:ascii="Arial" w:eastAsia="Calibri" w:hAnsi="Arial" w:cs="Arial"/>
              </w:rPr>
              <w:t>$50,000</w:t>
            </w:r>
          </w:p>
        </w:tc>
        <w:tc>
          <w:tcPr>
            <w:tcW w:w="1268" w:type="dxa"/>
          </w:tcPr>
          <w:p w14:paraId="2F4F83C4"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20" w:type="dxa"/>
          </w:tcPr>
          <w:p w14:paraId="187EBBBD" w14:textId="77777777" w:rsidR="00903C3A" w:rsidRPr="00746F54" w:rsidRDefault="00903C3A" w:rsidP="00D62922">
            <w:pPr>
              <w:keepNext/>
              <w:keepLines/>
              <w:rPr>
                <w:rFonts w:ascii="Arial" w:eastAsia="Calibri" w:hAnsi="Arial" w:cs="Arial"/>
              </w:rPr>
            </w:pPr>
            <w:r w:rsidRPr="00746F54">
              <w:rPr>
                <w:rFonts w:ascii="Arial" w:eastAsia="Calibri" w:hAnsi="Arial" w:cs="Arial"/>
              </w:rPr>
              <w:t>$14,292,500</w:t>
            </w:r>
          </w:p>
        </w:tc>
      </w:tr>
      <w:tr w:rsidR="00903C3A" w:rsidRPr="00746F54" w14:paraId="33D0A022" w14:textId="77777777" w:rsidTr="00D62922">
        <w:trPr>
          <w:trHeight w:val="263"/>
        </w:trPr>
        <w:tc>
          <w:tcPr>
            <w:tcW w:w="1850" w:type="dxa"/>
          </w:tcPr>
          <w:p w14:paraId="63A8EC24"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2</w:t>
            </w:r>
          </w:p>
        </w:tc>
        <w:tc>
          <w:tcPr>
            <w:tcW w:w="2001" w:type="dxa"/>
          </w:tcPr>
          <w:p w14:paraId="6277FCDD" w14:textId="77777777" w:rsidR="00903C3A" w:rsidRPr="00746F54" w:rsidRDefault="00903C3A" w:rsidP="00D62922">
            <w:pPr>
              <w:keepNext/>
              <w:keepLines/>
              <w:rPr>
                <w:rFonts w:ascii="Arial" w:eastAsia="Calibri" w:hAnsi="Arial" w:cs="Arial"/>
              </w:rPr>
            </w:pPr>
            <w:r w:rsidRPr="00746F54">
              <w:rPr>
                <w:rFonts w:ascii="Arial" w:eastAsia="Calibri" w:hAnsi="Arial" w:cs="Arial"/>
              </w:rPr>
              <w:t>$3,600,000</w:t>
            </w:r>
          </w:p>
        </w:tc>
        <w:tc>
          <w:tcPr>
            <w:tcW w:w="1926" w:type="dxa"/>
          </w:tcPr>
          <w:p w14:paraId="302C97AF"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680" w:type="dxa"/>
          </w:tcPr>
          <w:p w14:paraId="39C3CF8B"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268" w:type="dxa"/>
          </w:tcPr>
          <w:p w14:paraId="27FDDF77" w14:textId="77777777" w:rsidR="00903C3A" w:rsidRPr="00746F54" w:rsidRDefault="00903C3A" w:rsidP="00D62922">
            <w:pPr>
              <w:keepNext/>
              <w:keepLines/>
              <w:rPr>
                <w:rFonts w:ascii="Arial" w:eastAsia="Calibri" w:hAnsi="Arial" w:cs="Arial"/>
                <w:sz w:val="20"/>
                <w:szCs w:val="20"/>
              </w:rPr>
            </w:pPr>
            <w:r w:rsidRPr="00746F54">
              <w:rPr>
                <w:rFonts w:ascii="Arial" w:eastAsia="Calibri" w:hAnsi="Arial" w:cs="Arial"/>
                <w:sz w:val="20"/>
                <w:szCs w:val="20"/>
              </w:rPr>
              <w:t>$1,000,000</w:t>
            </w:r>
          </w:p>
        </w:tc>
        <w:tc>
          <w:tcPr>
            <w:tcW w:w="1620" w:type="dxa"/>
          </w:tcPr>
          <w:p w14:paraId="51729525" w14:textId="77777777" w:rsidR="00903C3A" w:rsidRPr="00746F54" w:rsidRDefault="00903C3A" w:rsidP="00D62922">
            <w:pPr>
              <w:keepNext/>
              <w:keepLines/>
              <w:rPr>
                <w:rFonts w:ascii="Arial" w:eastAsia="Calibri" w:hAnsi="Arial" w:cs="Arial"/>
              </w:rPr>
            </w:pPr>
            <w:r w:rsidRPr="00746F54">
              <w:rPr>
                <w:rFonts w:ascii="Arial" w:eastAsia="Calibri" w:hAnsi="Arial" w:cs="Arial"/>
              </w:rPr>
              <w:t>$4,600,000</w:t>
            </w:r>
          </w:p>
        </w:tc>
      </w:tr>
      <w:tr w:rsidR="00903C3A" w:rsidRPr="00746F54" w14:paraId="479E53A7" w14:textId="77777777" w:rsidTr="00D62922">
        <w:trPr>
          <w:trHeight w:val="263"/>
        </w:trPr>
        <w:tc>
          <w:tcPr>
            <w:tcW w:w="1850" w:type="dxa"/>
          </w:tcPr>
          <w:p w14:paraId="659BFD35"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3</w:t>
            </w:r>
          </w:p>
        </w:tc>
        <w:tc>
          <w:tcPr>
            <w:tcW w:w="2001" w:type="dxa"/>
          </w:tcPr>
          <w:p w14:paraId="2C4DD7AF" w14:textId="77777777" w:rsidR="00903C3A" w:rsidRPr="00746F54" w:rsidRDefault="00903C3A" w:rsidP="00D62922">
            <w:pPr>
              <w:keepNext/>
              <w:keepLines/>
              <w:rPr>
                <w:rFonts w:ascii="Arial" w:eastAsia="Calibri" w:hAnsi="Arial" w:cs="Arial"/>
              </w:rPr>
            </w:pPr>
            <w:r w:rsidRPr="00746F54">
              <w:rPr>
                <w:rFonts w:ascii="Arial" w:eastAsia="Calibri" w:hAnsi="Arial" w:cs="Arial"/>
              </w:rPr>
              <w:t>$4,750,000</w:t>
            </w:r>
          </w:p>
        </w:tc>
        <w:tc>
          <w:tcPr>
            <w:tcW w:w="1926" w:type="dxa"/>
          </w:tcPr>
          <w:p w14:paraId="415830F6" w14:textId="77777777" w:rsidR="00903C3A" w:rsidRPr="00746F54" w:rsidRDefault="00903C3A" w:rsidP="00D62922">
            <w:pPr>
              <w:keepNext/>
              <w:keepLines/>
              <w:rPr>
                <w:rFonts w:ascii="Arial" w:eastAsia="Calibri" w:hAnsi="Arial" w:cs="Arial"/>
              </w:rPr>
            </w:pPr>
            <w:r w:rsidRPr="00746F54">
              <w:rPr>
                <w:rFonts w:ascii="Arial" w:eastAsia="Calibri" w:hAnsi="Arial" w:cs="Arial"/>
              </w:rPr>
              <w:t>$238,700</w:t>
            </w:r>
          </w:p>
        </w:tc>
        <w:tc>
          <w:tcPr>
            <w:tcW w:w="1680" w:type="dxa"/>
          </w:tcPr>
          <w:p w14:paraId="6F5B25C8"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268" w:type="dxa"/>
          </w:tcPr>
          <w:p w14:paraId="16C55063" w14:textId="77777777" w:rsidR="00903C3A" w:rsidRPr="00746F54" w:rsidRDefault="00903C3A" w:rsidP="00D62922">
            <w:pPr>
              <w:keepNext/>
              <w:keepLines/>
              <w:rPr>
                <w:rFonts w:ascii="Arial" w:eastAsia="Calibri" w:hAnsi="Arial" w:cs="Arial"/>
                <w:sz w:val="20"/>
                <w:szCs w:val="20"/>
              </w:rPr>
            </w:pPr>
            <w:r w:rsidRPr="00746F54">
              <w:rPr>
                <w:rFonts w:ascii="Arial" w:eastAsia="Calibri" w:hAnsi="Arial" w:cs="Arial"/>
                <w:sz w:val="20"/>
                <w:szCs w:val="20"/>
              </w:rPr>
              <w:t>($500,000)</w:t>
            </w:r>
          </w:p>
        </w:tc>
        <w:tc>
          <w:tcPr>
            <w:tcW w:w="1620" w:type="dxa"/>
          </w:tcPr>
          <w:p w14:paraId="2AA99AA4" w14:textId="77777777" w:rsidR="00903C3A" w:rsidRPr="00746F54" w:rsidRDefault="00903C3A" w:rsidP="00D62922">
            <w:pPr>
              <w:keepNext/>
              <w:keepLines/>
              <w:rPr>
                <w:rFonts w:ascii="Arial" w:eastAsia="Calibri" w:hAnsi="Arial" w:cs="Arial"/>
              </w:rPr>
            </w:pPr>
            <w:r w:rsidRPr="00746F54">
              <w:rPr>
                <w:rFonts w:ascii="Arial" w:eastAsia="Calibri" w:hAnsi="Arial" w:cs="Arial"/>
              </w:rPr>
              <w:t>$4,488,700</w:t>
            </w:r>
          </w:p>
        </w:tc>
      </w:tr>
      <w:tr w:rsidR="00903C3A" w:rsidRPr="00746F54" w14:paraId="6945D920" w14:textId="77777777" w:rsidTr="00D62922">
        <w:trPr>
          <w:trHeight w:val="134"/>
        </w:trPr>
        <w:tc>
          <w:tcPr>
            <w:tcW w:w="1850" w:type="dxa"/>
          </w:tcPr>
          <w:p w14:paraId="1FFC11D9" w14:textId="77777777" w:rsidR="00903C3A" w:rsidRPr="00746F54" w:rsidRDefault="00903C3A" w:rsidP="00D62922">
            <w:pPr>
              <w:keepNext/>
              <w:keepLines/>
              <w:rPr>
                <w:rFonts w:ascii="Arial" w:eastAsia="Calibri" w:hAnsi="Arial" w:cs="Arial"/>
              </w:rPr>
            </w:pPr>
            <w:r w:rsidRPr="00746F54">
              <w:rPr>
                <w:rFonts w:ascii="Arial" w:eastAsia="Calibri" w:hAnsi="Arial" w:cs="Arial"/>
              </w:rPr>
              <w:t>BAA 4</w:t>
            </w:r>
          </w:p>
        </w:tc>
        <w:tc>
          <w:tcPr>
            <w:tcW w:w="2001" w:type="dxa"/>
          </w:tcPr>
          <w:p w14:paraId="2445860E" w14:textId="77777777" w:rsidR="00903C3A" w:rsidRPr="00746F54" w:rsidRDefault="00903C3A" w:rsidP="00D62922">
            <w:pPr>
              <w:keepNext/>
              <w:keepLines/>
              <w:rPr>
                <w:rFonts w:ascii="Arial" w:eastAsia="Calibri" w:hAnsi="Arial" w:cs="Arial"/>
              </w:rPr>
            </w:pPr>
            <w:r w:rsidRPr="00746F54">
              <w:rPr>
                <w:rFonts w:ascii="Arial" w:eastAsia="Calibri" w:hAnsi="Arial" w:cs="Arial"/>
              </w:rPr>
              <w:t>$30,700,000</w:t>
            </w:r>
          </w:p>
        </w:tc>
        <w:tc>
          <w:tcPr>
            <w:tcW w:w="1926" w:type="dxa"/>
          </w:tcPr>
          <w:p w14:paraId="1A3480DC"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680" w:type="dxa"/>
          </w:tcPr>
          <w:p w14:paraId="6B402D1E" w14:textId="77777777" w:rsidR="00903C3A" w:rsidRPr="00746F54" w:rsidRDefault="00903C3A" w:rsidP="00D62922">
            <w:pPr>
              <w:keepNext/>
              <w:keepLines/>
              <w:rPr>
                <w:rFonts w:ascii="Arial" w:eastAsia="Calibri" w:hAnsi="Arial" w:cs="Arial"/>
              </w:rPr>
            </w:pPr>
            <w:r w:rsidRPr="00746F54">
              <w:rPr>
                <w:rFonts w:ascii="Arial" w:eastAsia="Calibri" w:hAnsi="Arial" w:cs="Arial"/>
              </w:rPr>
              <w:t>$0</w:t>
            </w:r>
          </w:p>
        </w:tc>
        <w:tc>
          <w:tcPr>
            <w:tcW w:w="1268" w:type="dxa"/>
          </w:tcPr>
          <w:p w14:paraId="180FD6C1" w14:textId="77777777" w:rsidR="00903C3A" w:rsidRPr="00746F54" w:rsidRDefault="00903C3A" w:rsidP="00D62922">
            <w:pPr>
              <w:keepNext/>
              <w:keepLines/>
              <w:jc w:val="center"/>
              <w:rPr>
                <w:rFonts w:ascii="Arial" w:eastAsia="Calibri" w:hAnsi="Arial" w:cs="Arial"/>
              </w:rPr>
            </w:pPr>
            <w:r w:rsidRPr="00746F54">
              <w:rPr>
                <w:rFonts w:ascii="Arial" w:eastAsia="Calibri" w:hAnsi="Arial" w:cs="Arial"/>
              </w:rPr>
              <w:t>-</w:t>
            </w:r>
          </w:p>
        </w:tc>
        <w:tc>
          <w:tcPr>
            <w:tcW w:w="1620" w:type="dxa"/>
          </w:tcPr>
          <w:p w14:paraId="32AE7185" w14:textId="77777777" w:rsidR="00903C3A" w:rsidRPr="00746F54" w:rsidRDefault="00903C3A" w:rsidP="00D62922">
            <w:pPr>
              <w:keepNext/>
              <w:keepLines/>
              <w:rPr>
                <w:rFonts w:ascii="Arial" w:eastAsia="Calibri" w:hAnsi="Arial" w:cs="Arial"/>
              </w:rPr>
            </w:pPr>
            <w:r w:rsidRPr="00746F54">
              <w:rPr>
                <w:rFonts w:ascii="Arial" w:eastAsia="Calibri" w:hAnsi="Arial" w:cs="Arial"/>
              </w:rPr>
              <w:t>$30,700,000</w:t>
            </w:r>
          </w:p>
        </w:tc>
      </w:tr>
    </w:tbl>
    <w:p w14:paraId="37A78A5A" w14:textId="77777777" w:rsidR="00903C3A" w:rsidRPr="00746F54" w:rsidRDefault="00903C3A" w:rsidP="00903C3A">
      <w:pPr>
        <w:spacing w:after="0"/>
        <w:rPr>
          <w:rFonts w:ascii="Arial" w:eastAsia="Calibri" w:hAnsi="Arial" w:cs="Arial"/>
        </w:rPr>
      </w:pPr>
    </w:p>
    <w:p w14:paraId="31735D7D" w14:textId="77777777" w:rsidR="00903C3A" w:rsidRPr="00746F54" w:rsidRDefault="00903C3A" w:rsidP="00903C3A">
      <w:pPr>
        <w:spacing w:after="0"/>
        <w:rPr>
          <w:rFonts w:ascii="Arial" w:eastAsia="Calibri" w:hAnsi="Arial" w:cs="Arial"/>
        </w:rPr>
      </w:pPr>
      <w:r w:rsidRPr="00746F54">
        <w:rPr>
          <w:rFonts w:ascii="Arial" w:eastAsia="Calibri" w:hAnsi="Arial" w:cs="Arial"/>
        </w:rPr>
        <w:t>As shown in Table 12, going into 2027, the CAISO will calculate the total recoverable EDAM revenues across the components to which each EDAM entity (</w:t>
      </w:r>
      <w:r w:rsidRPr="00746F54">
        <w:rPr>
          <w:rFonts w:ascii="Arial" w:eastAsia="Calibri" w:hAnsi="Arial" w:cs="Arial"/>
          <w:i/>
        </w:rPr>
        <w:t>i.e.</w:t>
      </w:r>
      <w:r w:rsidRPr="00746F54">
        <w:rPr>
          <w:rFonts w:ascii="Arial" w:eastAsia="Calibri" w:hAnsi="Arial" w:cs="Arial"/>
        </w:rPr>
        <w:t xml:space="preserve">, BAA) ultimately will be trued-up.  BAA 1 continues to carry its historical 3-year average plus the component 3 revenues captured in Table 5.  BAA 2, because it did not have any component 2 or 3 amounts, carries over its component 1 revenues into 2027 adjusted by the 2026 true-up under-recovery.  BAA 3 carries component 1 and component 2 illustrated in Table 4 into 2027, adjusted by the over-recovery in the 2026 true up.  BAA 4 continues to carry over component 1 into 2027 as there are no additional components applicable for the year.  </w:t>
      </w:r>
    </w:p>
    <w:p w14:paraId="31D64021" w14:textId="77777777" w:rsidR="00903C3A" w:rsidRPr="00746F54" w:rsidRDefault="00903C3A" w:rsidP="00903C3A">
      <w:pPr>
        <w:spacing w:after="0"/>
        <w:rPr>
          <w:rFonts w:ascii="Arial" w:eastAsia="Calibri" w:hAnsi="Arial" w:cs="Arial"/>
        </w:rPr>
      </w:pPr>
    </w:p>
    <w:p w14:paraId="036702EA" w14:textId="77777777" w:rsidR="00903C3A" w:rsidRPr="00746F54" w:rsidRDefault="00903C3A" w:rsidP="00903C3A">
      <w:pPr>
        <w:spacing w:after="0"/>
        <w:rPr>
          <w:rFonts w:ascii="Arial" w:eastAsia="Calibri" w:hAnsi="Arial" w:cs="Arial"/>
        </w:rPr>
      </w:pPr>
      <w:r w:rsidRPr="00746F54">
        <w:rPr>
          <w:rFonts w:ascii="Arial" w:eastAsia="Calibri" w:hAnsi="Arial" w:cs="Arial"/>
        </w:rPr>
        <w:t xml:space="preserve">Finally, having established the total recoverable amounts for 2027, the CAISO will need to calculate the total 2027 projected EDAM access charge recoverable amount for each BAA as </w:t>
      </w:r>
      <w:r w:rsidRPr="00746F54">
        <w:rPr>
          <w:rFonts w:ascii="Arial" w:eastAsia="Calibri" w:hAnsi="Arial" w:cs="Arial"/>
        </w:rPr>
        <w:lastRenderedPageBreak/>
        <w:t xml:space="preserve">the sum of each component EDAM recoverable amount, which is the difference shown in Table 13 between the components of EDAM recoverable revenue and what the BAA expects to collect through eligible OATT sales in 2027. </w:t>
      </w:r>
    </w:p>
    <w:p w14:paraId="21E78514" w14:textId="77777777" w:rsidR="00903C3A" w:rsidRPr="00746F54" w:rsidRDefault="00903C3A" w:rsidP="00903C3A">
      <w:pPr>
        <w:spacing w:after="0"/>
        <w:rPr>
          <w:rFonts w:ascii="Arial" w:eastAsia="Calibri" w:hAnsi="Arial" w:cs="Arial"/>
        </w:rPr>
      </w:pPr>
    </w:p>
    <w:p w14:paraId="49E92156" w14:textId="77777777" w:rsidR="00903C3A" w:rsidRPr="00746F54" w:rsidRDefault="00903C3A" w:rsidP="00903C3A">
      <w:pPr>
        <w:spacing w:after="0"/>
        <w:jc w:val="center"/>
        <w:rPr>
          <w:rFonts w:ascii="Arial" w:eastAsia="Calibri" w:hAnsi="Arial" w:cs="Arial"/>
          <w:b/>
        </w:rPr>
      </w:pPr>
      <w:r w:rsidRPr="00746F54">
        <w:rPr>
          <w:rFonts w:ascii="Arial" w:eastAsia="Calibri" w:hAnsi="Arial" w:cs="Arial"/>
          <w:b/>
        </w:rPr>
        <w:t xml:space="preserve">Table 13: 2027 EDAM Access Charge Recovery Calculation  </w:t>
      </w:r>
    </w:p>
    <w:tbl>
      <w:tblPr>
        <w:tblStyle w:val="TableGrid1"/>
        <w:tblW w:w="9680" w:type="dxa"/>
        <w:tblLayout w:type="fixed"/>
        <w:tblLook w:val="04A0" w:firstRow="1" w:lastRow="0" w:firstColumn="1" w:lastColumn="0" w:noHBand="0" w:noVBand="1"/>
      </w:tblPr>
      <w:tblGrid>
        <w:gridCol w:w="1388"/>
        <w:gridCol w:w="1937"/>
        <w:gridCol w:w="1716"/>
        <w:gridCol w:w="1434"/>
        <w:gridCol w:w="1440"/>
        <w:gridCol w:w="1765"/>
      </w:tblGrid>
      <w:tr w:rsidR="00903C3A" w:rsidRPr="00746F54" w14:paraId="7064EE9D" w14:textId="77777777" w:rsidTr="00D62922">
        <w:tc>
          <w:tcPr>
            <w:tcW w:w="1388" w:type="dxa"/>
          </w:tcPr>
          <w:p w14:paraId="0FB0CE9D" w14:textId="77777777" w:rsidR="00903C3A" w:rsidRPr="00746F54" w:rsidRDefault="00903C3A" w:rsidP="00D62922">
            <w:pPr>
              <w:rPr>
                <w:rFonts w:ascii="Arial" w:eastAsia="Calibri" w:hAnsi="Arial" w:cs="Arial"/>
              </w:rPr>
            </w:pPr>
            <w:r w:rsidRPr="00746F54">
              <w:rPr>
                <w:rFonts w:ascii="Arial" w:eastAsia="Calibri" w:hAnsi="Arial" w:cs="Arial"/>
              </w:rPr>
              <w:t>EDAM Entity transmission provider</w:t>
            </w:r>
          </w:p>
        </w:tc>
        <w:tc>
          <w:tcPr>
            <w:tcW w:w="1937" w:type="dxa"/>
          </w:tcPr>
          <w:p w14:paraId="0CF325DE" w14:textId="77777777" w:rsidR="00903C3A" w:rsidRPr="00746F54" w:rsidRDefault="00903C3A" w:rsidP="00D62922">
            <w:pPr>
              <w:rPr>
                <w:rFonts w:ascii="Arial" w:eastAsia="Calibri" w:hAnsi="Arial" w:cs="Arial"/>
              </w:rPr>
            </w:pPr>
            <w:r w:rsidRPr="00746F54">
              <w:rPr>
                <w:rFonts w:ascii="Arial" w:eastAsia="Calibri" w:hAnsi="Arial" w:cs="Arial"/>
              </w:rPr>
              <w:t>Estimate of historical EDAM recovery for 2027</w:t>
            </w:r>
          </w:p>
        </w:tc>
        <w:tc>
          <w:tcPr>
            <w:tcW w:w="1716" w:type="dxa"/>
          </w:tcPr>
          <w:p w14:paraId="67007E67" w14:textId="77777777" w:rsidR="00903C3A" w:rsidRPr="00746F54" w:rsidRDefault="00903C3A" w:rsidP="00D62922">
            <w:pPr>
              <w:rPr>
                <w:rFonts w:ascii="Arial" w:eastAsia="Calibri" w:hAnsi="Arial" w:cs="Arial"/>
              </w:rPr>
            </w:pPr>
            <w:r w:rsidRPr="00746F54">
              <w:rPr>
                <w:rFonts w:ascii="Arial" w:eastAsia="Calibri" w:hAnsi="Arial" w:cs="Arial"/>
              </w:rPr>
              <w:t>Estimate of new network upgrades EDAM recoverable revenue for 2027</w:t>
            </w:r>
          </w:p>
        </w:tc>
        <w:tc>
          <w:tcPr>
            <w:tcW w:w="1434" w:type="dxa"/>
          </w:tcPr>
          <w:p w14:paraId="18FE1D92" w14:textId="77777777" w:rsidR="00903C3A" w:rsidRPr="00746F54" w:rsidRDefault="00903C3A" w:rsidP="00D62922">
            <w:pPr>
              <w:rPr>
                <w:rFonts w:ascii="Arial" w:eastAsia="Calibri" w:hAnsi="Arial" w:cs="Arial"/>
              </w:rPr>
            </w:pPr>
            <w:r w:rsidRPr="00746F54">
              <w:rPr>
                <w:rFonts w:ascii="Arial" w:eastAsia="Calibri" w:hAnsi="Arial" w:cs="Arial"/>
              </w:rPr>
              <w:t>Net incremental wheeling-through transfers</w:t>
            </w:r>
          </w:p>
        </w:tc>
        <w:tc>
          <w:tcPr>
            <w:tcW w:w="1440" w:type="dxa"/>
          </w:tcPr>
          <w:p w14:paraId="67C12FF2" w14:textId="77777777" w:rsidR="00903C3A" w:rsidRPr="00746F54" w:rsidRDefault="00903C3A" w:rsidP="00D62922">
            <w:pPr>
              <w:rPr>
                <w:rFonts w:ascii="Arial" w:eastAsia="Calibri" w:hAnsi="Arial" w:cs="Arial"/>
              </w:rPr>
            </w:pPr>
            <w:r w:rsidRPr="00746F54">
              <w:rPr>
                <w:rFonts w:ascii="Arial" w:eastAsia="Calibri" w:hAnsi="Arial" w:cs="Arial"/>
              </w:rPr>
              <w:t>2026 True-up (over or under recovery)</w:t>
            </w:r>
          </w:p>
        </w:tc>
        <w:tc>
          <w:tcPr>
            <w:tcW w:w="1765" w:type="dxa"/>
          </w:tcPr>
          <w:p w14:paraId="795942CF" w14:textId="77777777" w:rsidR="00903C3A" w:rsidRPr="00746F54" w:rsidRDefault="00903C3A" w:rsidP="00D62922">
            <w:pPr>
              <w:rPr>
                <w:rFonts w:ascii="Arial" w:eastAsia="Calibri" w:hAnsi="Arial" w:cs="Arial"/>
              </w:rPr>
            </w:pPr>
            <w:r w:rsidRPr="00746F54">
              <w:rPr>
                <w:rFonts w:ascii="Arial" w:eastAsia="Calibri" w:hAnsi="Arial" w:cs="Arial"/>
              </w:rPr>
              <w:t>Estimated EDAM recoverable revenue (for 2027)</w:t>
            </w:r>
            <w:r w:rsidRPr="00746F54" w:rsidDel="003E7FD7">
              <w:rPr>
                <w:rFonts w:ascii="Arial" w:eastAsia="Calibri" w:hAnsi="Arial" w:cs="Arial"/>
                <w:vertAlign w:val="superscript"/>
              </w:rPr>
              <w:t xml:space="preserve"> </w:t>
            </w:r>
          </w:p>
        </w:tc>
      </w:tr>
      <w:tr w:rsidR="00903C3A" w:rsidRPr="00746F54" w14:paraId="0BF15575" w14:textId="77777777" w:rsidTr="00D62922">
        <w:tc>
          <w:tcPr>
            <w:tcW w:w="1388" w:type="dxa"/>
          </w:tcPr>
          <w:p w14:paraId="6B230122" w14:textId="77777777" w:rsidR="00903C3A" w:rsidRPr="00746F54" w:rsidRDefault="00903C3A" w:rsidP="00D62922">
            <w:pPr>
              <w:rPr>
                <w:rFonts w:ascii="Arial" w:eastAsia="Calibri" w:hAnsi="Arial" w:cs="Arial"/>
              </w:rPr>
            </w:pPr>
            <w:r w:rsidRPr="00746F54">
              <w:rPr>
                <w:rFonts w:ascii="Arial" w:eastAsia="Calibri" w:hAnsi="Arial" w:cs="Arial"/>
              </w:rPr>
              <w:t>BAA 1</w:t>
            </w:r>
          </w:p>
        </w:tc>
        <w:tc>
          <w:tcPr>
            <w:tcW w:w="1937" w:type="dxa"/>
          </w:tcPr>
          <w:p w14:paraId="38EF582F" w14:textId="77777777" w:rsidR="00903C3A" w:rsidRPr="00746F54" w:rsidRDefault="00903C3A" w:rsidP="00D62922">
            <w:pPr>
              <w:jc w:val="center"/>
              <w:rPr>
                <w:rFonts w:ascii="Arial" w:eastAsia="Calibri" w:hAnsi="Arial" w:cs="Arial"/>
              </w:rPr>
            </w:pPr>
            <w:r w:rsidRPr="00746F54">
              <w:rPr>
                <w:rFonts w:ascii="Arial" w:eastAsia="Calibri" w:hAnsi="Arial" w:cs="Arial"/>
              </w:rPr>
              <w:t>$7,125,000</w:t>
            </w:r>
          </w:p>
        </w:tc>
        <w:tc>
          <w:tcPr>
            <w:tcW w:w="1716" w:type="dxa"/>
          </w:tcPr>
          <w:p w14:paraId="5116CD07"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34" w:type="dxa"/>
          </w:tcPr>
          <w:p w14:paraId="72C46A18" w14:textId="77777777" w:rsidR="00903C3A" w:rsidRPr="00746F54" w:rsidRDefault="00903C3A" w:rsidP="00D62922">
            <w:pPr>
              <w:jc w:val="center"/>
              <w:rPr>
                <w:rFonts w:ascii="Arial" w:eastAsia="Calibri" w:hAnsi="Arial" w:cs="Arial"/>
              </w:rPr>
            </w:pPr>
            <w:r w:rsidRPr="00746F54">
              <w:rPr>
                <w:rFonts w:ascii="Arial" w:eastAsia="Calibri" w:hAnsi="Arial" w:cs="Arial"/>
              </w:rPr>
              <w:t>$50,000</w:t>
            </w:r>
          </w:p>
        </w:tc>
        <w:tc>
          <w:tcPr>
            <w:tcW w:w="1440" w:type="dxa"/>
          </w:tcPr>
          <w:p w14:paraId="742711C7"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765" w:type="dxa"/>
          </w:tcPr>
          <w:p w14:paraId="19E1F143" w14:textId="77777777" w:rsidR="00903C3A" w:rsidRPr="00746F54" w:rsidRDefault="00903C3A" w:rsidP="00D62922">
            <w:pPr>
              <w:jc w:val="center"/>
              <w:rPr>
                <w:rFonts w:ascii="Arial" w:eastAsia="Calibri" w:hAnsi="Arial" w:cs="Arial"/>
              </w:rPr>
            </w:pPr>
            <w:r w:rsidRPr="00746F54">
              <w:rPr>
                <w:rFonts w:ascii="Arial" w:eastAsia="Calibri" w:hAnsi="Arial" w:cs="Arial"/>
              </w:rPr>
              <w:t>$7,175,000</w:t>
            </w:r>
          </w:p>
        </w:tc>
      </w:tr>
      <w:tr w:rsidR="00903C3A" w:rsidRPr="00746F54" w14:paraId="55A21AC7" w14:textId="77777777" w:rsidTr="00D62922">
        <w:tc>
          <w:tcPr>
            <w:tcW w:w="1388" w:type="dxa"/>
          </w:tcPr>
          <w:p w14:paraId="4468333C" w14:textId="77777777" w:rsidR="00903C3A" w:rsidRPr="00746F54" w:rsidRDefault="00903C3A" w:rsidP="00D62922">
            <w:pPr>
              <w:rPr>
                <w:rFonts w:ascii="Arial" w:eastAsia="Calibri" w:hAnsi="Arial" w:cs="Arial"/>
              </w:rPr>
            </w:pPr>
            <w:r w:rsidRPr="00746F54">
              <w:rPr>
                <w:rFonts w:ascii="Arial" w:eastAsia="Calibri" w:hAnsi="Arial" w:cs="Arial"/>
              </w:rPr>
              <w:t>BAA 2</w:t>
            </w:r>
          </w:p>
        </w:tc>
        <w:tc>
          <w:tcPr>
            <w:tcW w:w="1937" w:type="dxa"/>
          </w:tcPr>
          <w:p w14:paraId="6C825471" w14:textId="77777777" w:rsidR="00903C3A" w:rsidRPr="00746F54" w:rsidRDefault="00903C3A" w:rsidP="00D62922">
            <w:pPr>
              <w:jc w:val="center"/>
              <w:rPr>
                <w:rFonts w:ascii="Arial" w:eastAsia="Calibri" w:hAnsi="Arial" w:cs="Arial"/>
              </w:rPr>
            </w:pPr>
            <w:r w:rsidRPr="00746F54">
              <w:rPr>
                <w:rFonts w:ascii="Arial" w:eastAsia="Calibri" w:hAnsi="Arial" w:cs="Arial"/>
              </w:rPr>
              <w:t>$1,100,000</w:t>
            </w:r>
          </w:p>
        </w:tc>
        <w:tc>
          <w:tcPr>
            <w:tcW w:w="1716" w:type="dxa"/>
          </w:tcPr>
          <w:p w14:paraId="5EEE7679"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34" w:type="dxa"/>
          </w:tcPr>
          <w:p w14:paraId="7D43F0DF"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40" w:type="dxa"/>
          </w:tcPr>
          <w:p w14:paraId="327C90F3" w14:textId="77777777" w:rsidR="00903C3A" w:rsidRPr="00746F54" w:rsidRDefault="00903C3A" w:rsidP="00D62922">
            <w:pPr>
              <w:jc w:val="center"/>
              <w:rPr>
                <w:rFonts w:ascii="Arial" w:eastAsia="Calibri" w:hAnsi="Arial" w:cs="Arial"/>
              </w:rPr>
            </w:pPr>
            <w:r w:rsidRPr="00746F54">
              <w:rPr>
                <w:rFonts w:ascii="Arial" w:eastAsia="Calibri" w:hAnsi="Arial" w:cs="Arial"/>
                <w:sz w:val="20"/>
                <w:szCs w:val="20"/>
              </w:rPr>
              <w:t>$1,000,000</w:t>
            </w:r>
          </w:p>
        </w:tc>
        <w:tc>
          <w:tcPr>
            <w:tcW w:w="1765" w:type="dxa"/>
          </w:tcPr>
          <w:p w14:paraId="6FD19084" w14:textId="77777777" w:rsidR="00903C3A" w:rsidRPr="00746F54" w:rsidRDefault="00903C3A" w:rsidP="00D62922">
            <w:pPr>
              <w:jc w:val="center"/>
              <w:rPr>
                <w:rFonts w:ascii="Arial" w:eastAsia="Calibri" w:hAnsi="Arial" w:cs="Arial"/>
              </w:rPr>
            </w:pPr>
            <w:r w:rsidRPr="00746F54">
              <w:rPr>
                <w:rFonts w:ascii="Arial" w:eastAsia="Calibri" w:hAnsi="Arial" w:cs="Arial"/>
              </w:rPr>
              <w:t>$2,100,000</w:t>
            </w:r>
          </w:p>
        </w:tc>
      </w:tr>
      <w:tr w:rsidR="00903C3A" w:rsidRPr="00746F54" w14:paraId="1AFEA54F" w14:textId="77777777" w:rsidTr="00D62922">
        <w:tc>
          <w:tcPr>
            <w:tcW w:w="1388" w:type="dxa"/>
          </w:tcPr>
          <w:p w14:paraId="46EA23D4" w14:textId="77777777" w:rsidR="00903C3A" w:rsidRPr="00746F54" w:rsidRDefault="00903C3A" w:rsidP="00D62922">
            <w:pPr>
              <w:rPr>
                <w:rFonts w:ascii="Arial" w:eastAsia="Calibri" w:hAnsi="Arial" w:cs="Arial"/>
              </w:rPr>
            </w:pPr>
            <w:r w:rsidRPr="00746F54">
              <w:rPr>
                <w:rFonts w:ascii="Arial" w:eastAsia="Calibri" w:hAnsi="Arial" w:cs="Arial"/>
              </w:rPr>
              <w:t>BAA 3</w:t>
            </w:r>
          </w:p>
        </w:tc>
        <w:tc>
          <w:tcPr>
            <w:tcW w:w="1937" w:type="dxa"/>
          </w:tcPr>
          <w:p w14:paraId="1F6D4632" w14:textId="77777777" w:rsidR="00903C3A" w:rsidRPr="00746F54" w:rsidRDefault="00903C3A" w:rsidP="00D62922">
            <w:pPr>
              <w:jc w:val="center"/>
              <w:rPr>
                <w:rFonts w:ascii="Arial" w:eastAsia="Calibri" w:hAnsi="Arial" w:cs="Arial"/>
              </w:rPr>
            </w:pPr>
            <w:r w:rsidRPr="00746F54">
              <w:rPr>
                <w:rFonts w:ascii="Arial" w:eastAsia="Calibri" w:hAnsi="Arial" w:cs="Arial"/>
              </w:rPr>
              <w:t>$1,100,000</w:t>
            </w:r>
          </w:p>
        </w:tc>
        <w:tc>
          <w:tcPr>
            <w:tcW w:w="1716" w:type="dxa"/>
          </w:tcPr>
          <w:p w14:paraId="3E2ABF43" w14:textId="77777777" w:rsidR="00903C3A" w:rsidRPr="00746F54" w:rsidRDefault="00903C3A" w:rsidP="00D62922">
            <w:pPr>
              <w:jc w:val="center"/>
              <w:rPr>
                <w:rFonts w:ascii="Arial" w:eastAsia="Calibri" w:hAnsi="Arial" w:cs="Arial"/>
              </w:rPr>
            </w:pPr>
            <w:r w:rsidRPr="00746F54">
              <w:rPr>
                <w:rFonts w:ascii="Arial" w:eastAsia="Calibri" w:hAnsi="Arial" w:cs="Arial"/>
              </w:rPr>
              <w:t>$59,000</w:t>
            </w:r>
          </w:p>
        </w:tc>
        <w:tc>
          <w:tcPr>
            <w:tcW w:w="1434" w:type="dxa"/>
          </w:tcPr>
          <w:p w14:paraId="08F831AE"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40" w:type="dxa"/>
          </w:tcPr>
          <w:p w14:paraId="34968680" w14:textId="77777777" w:rsidR="00903C3A" w:rsidRPr="00746F54" w:rsidRDefault="00903C3A" w:rsidP="00D62922">
            <w:pPr>
              <w:jc w:val="center"/>
              <w:rPr>
                <w:rFonts w:ascii="Arial" w:eastAsia="Calibri" w:hAnsi="Arial" w:cs="Arial"/>
              </w:rPr>
            </w:pPr>
            <w:r w:rsidRPr="00746F54">
              <w:rPr>
                <w:rFonts w:ascii="Arial" w:eastAsia="Calibri" w:hAnsi="Arial" w:cs="Arial"/>
                <w:sz w:val="20"/>
                <w:szCs w:val="20"/>
              </w:rPr>
              <w:t>($500,000)</w:t>
            </w:r>
          </w:p>
        </w:tc>
        <w:tc>
          <w:tcPr>
            <w:tcW w:w="1765" w:type="dxa"/>
          </w:tcPr>
          <w:p w14:paraId="0DB2AF60" w14:textId="77777777" w:rsidR="00903C3A" w:rsidRPr="00746F54" w:rsidRDefault="00903C3A" w:rsidP="00D62922">
            <w:pPr>
              <w:jc w:val="center"/>
              <w:rPr>
                <w:rFonts w:ascii="Arial" w:eastAsia="Calibri" w:hAnsi="Arial" w:cs="Arial"/>
              </w:rPr>
            </w:pPr>
            <w:r w:rsidRPr="00746F54">
              <w:rPr>
                <w:rFonts w:ascii="Arial" w:eastAsia="Calibri" w:hAnsi="Arial" w:cs="Arial"/>
              </w:rPr>
              <w:t>$659,000</w:t>
            </w:r>
          </w:p>
        </w:tc>
      </w:tr>
      <w:tr w:rsidR="00903C3A" w:rsidRPr="00746F54" w14:paraId="570EDED5" w14:textId="77777777" w:rsidTr="00D62922">
        <w:tc>
          <w:tcPr>
            <w:tcW w:w="1388" w:type="dxa"/>
          </w:tcPr>
          <w:p w14:paraId="36187A5A" w14:textId="77777777" w:rsidR="00903C3A" w:rsidRPr="00746F54" w:rsidRDefault="00903C3A" w:rsidP="00D62922">
            <w:pPr>
              <w:rPr>
                <w:rFonts w:ascii="Arial" w:eastAsia="Calibri" w:hAnsi="Arial" w:cs="Arial"/>
              </w:rPr>
            </w:pPr>
            <w:r w:rsidRPr="00746F54">
              <w:rPr>
                <w:rFonts w:ascii="Arial" w:eastAsia="Calibri" w:hAnsi="Arial" w:cs="Arial"/>
              </w:rPr>
              <w:t>BAA 4</w:t>
            </w:r>
          </w:p>
        </w:tc>
        <w:tc>
          <w:tcPr>
            <w:tcW w:w="1937" w:type="dxa"/>
          </w:tcPr>
          <w:p w14:paraId="641AA071" w14:textId="77777777" w:rsidR="00903C3A" w:rsidRPr="00746F54" w:rsidRDefault="00903C3A" w:rsidP="00D62922">
            <w:pPr>
              <w:jc w:val="center"/>
              <w:rPr>
                <w:rFonts w:ascii="Arial" w:eastAsia="Calibri" w:hAnsi="Arial" w:cs="Arial"/>
              </w:rPr>
            </w:pPr>
            <w:r w:rsidRPr="00746F54">
              <w:rPr>
                <w:rFonts w:ascii="Arial" w:eastAsia="Calibri" w:hAnsi="Arial" w:cs="Arial"/>
              </w:rPr>
              <w:t>$1,600,000</w:t>
            </w:r>
          </w:p>
        </w:tc>
        <w:tc>
          <w:tcPr>
            <w:tcW w:w="1716" w:type="dxa"/>
          </w:tcPr>
          <w:p w14:paraId="6C89EF68"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34" w:type="dxa"/>
          </w:tcPr>
          <w:p w14:paraId="02B25941"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440" w:type="dxa"/>
          </w:tcPr>
          <w:p w14:paraId="0F16B875" w14:textId="77777777" w:rsidR="00903C3A" w:rsidRPr="00746F54" w:rsidRDefault="00903C3A" w:rsidP="00D62922">
            <w:pPr>
              <w:jc w:val="center"/>
              <w:rPr>
                <w:rFonts w:ascii="Arial" w:eastAsia="Calibri" w:hAnsi="Arial" w:cs="Arial"/>
              </w:rPr>
            </w:pPr>
            <w:r w:rsidRPr="00746F54">
              <w:rPr>
                <w:rFonts w:ascii="Arial" w:eastAsia="Calibri" w:hAnsi="Arial" w:cs="Arial"/>
              </w:rPr>
              <w:t>-</w:t>
            </w:r>
          </w:p>
        </w:tc>
        <w:tc>
          <w:tcPr>
            <w:tcW w:w="1765" w:type="dxa"/>
          </w:tcPr>
          <w:p w14:paraId="75AF0990" w14:textId="77777777" w:rsidR="00903C3A" w:rsidRPr="00746F54" w:rsidRDefault="00903C3A" w:rsidP="00D62922">
            <w:pPr>
              <w:jc w:val="center"/>
              <w:rPr>
                <w:rFonts w:ascii="Arial" w:eastAsia="Calibri" w:hAnsi="Arial" w:cs="Arial"/>
              </w:rPr>
            </w:pPr>
            <w:r w:rsidRPr="00746F54">
              <w:rPr>
                <w:rFonts w:ascii="Arial" w:eastAsia="Calibri" w:hAnsi="Arial" w:cs="Arial"/>
              </w:rPr>
              <w:t>$1,600,000</w:t>
            </w:r>
          </w:p>
        </w:tc>
      </w:tr>
    </w:tbl>
    <w:p w14:paraId="06614583" w14:textId="77777777" w:rsidR="00903C3A" w:rsidRPr="00746F54" w:rsidRDefault="00903C3A" w:rsidP="00546043">
      <w:pPr>
        <w:rPr>
          <w:rFonts w:ascii="Arial" w:hAnsi="Arial" w:cs="Arial"/>
        </w:rPr>
      </w:pPr>
    </w:p>
    <w:p w14:paraId="2B644CB1" w14:textId="77777777" w:rsidR="0074730E" w:rsidRPr="00746F54" w:rsidRDefault="0074730E" w:rsidP="0074730E">
      <w:pPr>
        <w:pStyle w:val="Heading1"/>
        <w:rPr>
          <w:rFonts w:ascii="Arial" w:hAnsi="Arial" w:cs="Arial"/>
        </w:rPr>
      </w:pPr>
      <w:bookmarkStart w:id="146" w:name="_Toc211337921"/>
      <w:bookmarkStart w:id="147" w:name="_Toc228963714"/>
      <w:r w:rsidRPr="00746F54">
        <w:rPr>
          <w:rFonts w:ascii="Arial" w:hAnsi="Arial" w:cs="Arial"/>
        </w:rPr>
        <w:t>CAISO Markets and Processes</w:t>
      </w:r>
      <w:bookmarkEnd w:id="146"/>
      <w:bookmarkEnd w:id="147"/>
    </w:p>
    <w:p w14:paraId="7F3EB879" w14:textId="3EA9C9D1" w:rsidR="004D29D1" w:rsidRPr="00746F54" w:rsidRDefault="004D29D1" w:rsidP="004D29D1">
      <w:pPr>
        <w:pStyle w:val="Heading2"/>
        <w:rPr>
          <w:rFonts w:ascii="Arial" w:hAnsi="Arial" w:cs="Arial"/>
        </w:rPr>
      </w:pPr>
      <w:bookmarkStart w:id="148" w:name="_Toc211337922"/>
      <w:bookmarkStart w:id="149" w:name="_Toc228963715"/>
      <w:r w:rsidRPr="00746F54">
        <w:rPr>
          <w:rFonts w:ascii="Arial" w:hAnsi="Arial" w:cs="Arial"/>
        </w:rPr>
        <w:t>Locational Marginal Prices formation</w:t>
      </w:r>
      <w:bookmarkEnd w:id="148"/>
      <w:bookmarkEnd w:id="149"/>
    </w:p>
    <w:p w14:paraId="3F523C08" w14:textId="34A26F6F" w:rsidR="0050559A" w:rsidRPr="00746F54" w:rsidRDefault="0050559A" w:rsidP="004D29D1">
      <w:pPr>
        <w:spacing w:after="240" w:line="300" w:lineRule="auto"/>
        <w:rPr>
          <w:rFonts w:ascii="Arial" w:eastAsia="Calibri" w:hAnsi="Arial" w:cs="Arial"/>
          <w:u w:val="single"/>
        </w:rPr>
      </w:pPr>
      <w:r w:rsidRPr="00746F54">
        <w:rPr>
          <w:rFonts w:ascii="Arial" w:eastAsia="Calibri" w:hAnsi="Arial" w:cs="Arial"/>
          <w:u w:val="single"/>
        </w:rPr>
        <w:t>Reference tariff section 33.27.</w:t>
      </w:r>
      <w:r w:rsidR="00267FB1" w:rsidRPr="00746F54">
        <w:rPr>
          <w:rFonts w:ascii="Arial" w:eastAsia="Calibri" w:hAnsi="Arial" w:cs="Arial"/>
          <w:u w:val="single"/>
        </w:rPr>
        <w:t>2</w:t>
      </w:r>
    </w:p>
    <w:p w14:paraId="0F24E855" w14:textId="77777777" w:rsidR="002843CA" w:rsidRPr="002843CA" w:rsidRDefault="002843CA" w:rsidP="002843CA">
      <w:pPr>
        <w:spacing w:after="240" w:line="300" w:lineRule="auto"/>
        <w:rPr>
          <w:rFonts w:ascii="Arial" w:eastAsia="Calibri" w:hAnsi="Arial" w:cs="Arial"/>
        </w:rPr>
      </w:pPr>
      <w:r w:rsidRPr="002843CA">
        <w:rPr>
          <w:rFonts w:ascii="Arial" w:eastAsia="Calibri" w:hAnsi="Arial" w:cs="Arial"/>
        </w:rPr>
        <w:t xml:space="preserve">For the first six months following the Implementation Date of a new EDAM Entity, when power balance and/or transmission constraints within that entity’s Balancing Authority Area are relaxed, CAISO will determine prices based on the last economic bid rather than administrative prices. In addition, for pricing purposes, CAISO will set the imbalance reserve demand curve within the new EDAM Entity’s Balancing Authority Area to a value between $0 and $0.01. This approach allows prices to reflect the last economic bid cleared in the market, instead of the imbalance reserve demand curve pricing parameter that would otherwise apply. </w:t>
      </w:r>
    </w:p>
    <w:p w14:paraId="5DCC9870" w14:textId="15F1C938" w:rsidR="004D29D1" w:rsidRPr="00746F54" w:rsidRDefault="002843CA" w:rsidP="002843CA">
      <w:pPr>
        <w:spacing w:after="240" w:line="300" w:lineRule="auto"/>
        <w:rPr>
          <w:rFonts w:ascii="Arial" w:eastAsia="Calibri" w:hAnsi="Arial" w:cs="Arial"/>
        </w:rPr>
      </w:pPr>
      <w:r w:rsidRPr="002843CA">
        <w:rPr>
          <w:rFonts w:ascii="Arial" w:eastAsia="Calibri" w:hAnsi="Arial" w:cs="Arial"/>
        </w:rPr>
        <w:t>This transition-period pricing applies only to the new EDAM Entity’s Balancing Authority Area. It does not apply to the CAISO Balancing Authority Area. This practice  is limited to the day-ahead market; it does not apply in the real-time market.</w:t>
      </w:r>
    </w:p>
    <w:p w14:paraId="0D00EC70" w14:textId="77777777" w:rsidR="004D29D1" w:rsidRPr="00746F54" w:rsidRDefault="004D29D1" w:rsidP="004D29D1">
      <w:pPr>
        <w:pStyle w:val="Heading3"/>
        <w:rPr>
          <w:rFonts w:ascii="Arial" w:hAnsi="Arial" w:cs="Arial"/>
        </w:rPr>
      </w:pPr>
      <w:bookmarkStart w:id="150" w:name="_Toc211337923"/>
      <w:r w:rsidRPr="00746F54">
        <w:rPr>
          <w:rFonts w:ascii="Arial" w:hAnsi="Arial" w:cs="Arial"/>
        </w:rPr>
        <w:t>Marginal Energy Cost (MEC) and Impact of EDAM transfer on LMPs</w:t>
      </w:r>
      <w:bookmarkEnd w:id="150"/>
    </w:p>
    <w:p w14:paraId="777B3FCE" w14:textId="5C9CBE8B" w:rsidR="004D29D1" w:rsidRPr="00746F54" w:rsidRDefault="004D29D1" w:rsidP="004D29D1">
      <w:pPr>
        <w:pStyle w:val="ParaText"/>
        <w:spacing w:after="0"/>
        <w:rPr>
          <w:rFonts w:ascii="Arial" w:hAnsi="Arial" w:cs="Arial"/>
        </w:rPr>
      </w:pPr>
      <w:r w:rsidRPr="00746F54">
        <w:rPr>
          <w:rFonts w:ascii="Arial" w:hAnsi="Arial" w:cs="Arial"/>
        </w:rPr>
        <w:t xml:space="preserve">The MEC is the same for all </w:t>
      </w:r>
      <w:proofErr w:type="spellStart"/>
      <w:r w:rsidRPr="00746F54">
        <w:rPr>
          <w:rFonts w:ascii="Arial" w:hAnsi="Arial" w:cs="Arial"/>
        </w:rPr>
        <w:t>Pnodes</w:t>
      </w:r>
      <w:proofErr w:type="spellEnd"/>
      <w:r w:rsidRPr="00746F54">
        <w:rPr>
          <w:rFonts w:ascii="Arial" w:hAnsi="Arial" w:cs="Arial"/>
        </w:rPr>
        <w:t xml:space="preserve"> in each Balancing Authority Area in the Market Area. The MEC is the Shadow Price of the power balance constraint for the respective Balancing Authority Area at the optimal solution. The power balance constraint for each Balancing Authority Area in the Market Area ensures that the sum of Generation and imports </w:t>
      </w:r>
      <w:r w:rsidR="00C95132" w:rsidRPr="00746F54">
        <w:rPr>
          <w:rFonts w:ascii="Arial" w:hAnsi="Arial" w:cs="Arial"/>
        </w:rPr>
        <w:t>equal</w:t>
      </w:r>
      <w:r w:rsidRPr="00746F54">
        <w:rPr>
          <w:rFonts w:ascii="Arial" w:hAnsi="Arial" w:cs="Arial"/>
        </w:rPr>
        <w:t xml:space="preserve"> the sum of Demand, </w:t>
      </w:r>
      <w:r w:rsidRPr="00746F54">
        <w:rPr>
          <w:rFonts w:ascii="Arial" w:hAnsi="Arial" w:cs="Arial"/>
        </w:rPr>
        <w:lastRenderedPageBreak/>
        <w:t>including exports and Transmission Losses, plus the Net Market Transfer. The MEC for the Transfer System Resources (TSRs) on each side of the Market Transfer that they model is the MEC of the respective Balancing Authority Area. The MEC may be different between two Balancing Authority Areas in the Market Area when Market Transfers between these Balancing Authority Areas are scheduled at their respective scheduling limits. The MEC difference between the Balancing Authority Areas on either side of a specific Market Transfer generates Market Transfer revenue.</w:t>
      </w:r>
    </w:p>
    <w:p w14:paraId="4E4BA7BD" w14:textId="77777777" w:rsidR="004D29D1" w:rsidRPr="00746F54" w:rsidRDefault="004D29D1" w:rsidP="004D29D1">
      <w:pPr>
        <w:pStyle w:val="ParaText"/>
        <w:spacing w:after="0"/>
        <w:rPr>
          <w:rFonts w:ascii="Arial" w:hAnsi="Arial" w:cs="Arial"/>
        </w:rPr>
      </w:pPr>
    </w:p>
    <w:p w14:paraId="476ED8B3" w14:textId="77777777" w:rsidR="004D29D1" w:rsidRPr="00746F54" w:rsidRDefault="004D29D1" w:rsidP="004D29D1">
      <w:pPr>
        <w:pStyle w:val="Heading3"/>
        <w:rPr>
          <w:rFonts w:ascii="Arial" w:hAnsi="Arial" w:cs="Arial"/>
        </w:rPr>
      </w:pPr>
      <w:bookmarkStart w:id="151" w:name="_Toc211337924"/>
      <w:r w:rsidRPr="00746F54">
        <w:rPr>
          <w:rFonts w:ascii="Arial" w:hAnsi="Arial" w:cs="Arial"/>
        </w:rPr>
        <w:t>Marginal Cost of Congestion (MCC)</w:t>
      </w:r>
      <w:bookmarkEnd w:id="151"/>
    </w:p>
    <w:p w14:paraId="027C191B" w14:textId="0774DD9F" w:rsidR="004D29D1" w:rsidRPr="00746F54" w:rsidRDefault="004D29D1" w:rsidP="004D29D1">
      <w:pPr>
        <w:pStyle w:val="ParaText"/>
        <w:rPr>
          <w:rFonts w:ascii="Arial" w:hAnsi="Arial" w:cs="Arial"/>
        </w:rPr>
      </w:pPr>
      <w:r w:rsidRPr="00746F54">
        <w:rPr>
          <w:rFonts w:ascii="Arial" w:hAnsi="Arial" w:cs="Arial"/>
        </w:rPr>
        <w:t xml:space="preserve">The CAISO calculates the Marginal Cost of Congestion at each </w:t>
      </w:r>
      <w:proofErr w:type="spellStart"/>
      <w:r w:rsidRPr="00746F54">
        <w:rPr>
          <w:rFonts w:ascii="Arial" w:hAnsi="Arial" w:cs="Arial"/>
        </w:rPr>
        <w:t>Pnode</w:t>
      </w:r>
      <w:proofErr w:type="spellEnd"/>
      <w:r w:rsidRPr="00746F54">
        <w:rPr>
          <w:rFonts w:ascii="Arial" w:hAnsi="Arial" w:cs="Arial"/>
        </w:rPr>
        <w:t xml:space="preserve"> as the net contribution of the Shadow Prices of the binding Transmission Constraints at the optimal solution, weighted by the respective Power Transfer Distribution Factors. </w:t>
      </w:r>
    </w:p>
    <w:p w14:paraId="6DDBDE9F" w14:textId="5F519277" w:rsidR="004D29D1" w:rsidRPr="00746F54" w:rsidRDefault="004D29D1" w:rsidP="004D29D1">
      <w:pPr>
        <w:pStyle w:val="ParaText"/>
        <w:rPr>
          <w:rFonts w:ascii="Arial" w:hAnsi="Arial" w:cs="Arial"/>
        </w:rPr>
      </w:pPr>
      <w:r w:rsidRPr="00746F54">
        <w:rPr>
          <w:rFonts w:ascii="Arial" w:hAnsi="Arial" w:cs="Arial"/>
        </w:rPr>
        <w:t xml:space="preserve">The Power Transfer Distribution Factor for </w:t>
      </w:r>
      <w:proofErr w:type="spellStart"/>
      <w:r w:rsidRPr="00746F54">
        <w:rPr>
          <w:rFonts w:ascii="Arial" w:hAnsi="Arial" w:cs="Arial"/>
        </w:rPr>
        <w:t>Pnode</w:t>
      </w:r>
      <w:proofErr w:type="spellEnd"/>
      <w:r w:rsidRPr="00746F54">
        <w:rPr>
          <w:rFonts w:ascii="Arial" w:hAnsi="Arial" w:cs="Arial"/>
        </w:rPr>
        <w:t xml:space="preserve"> </w:t>
      </w:r>
      <w:proofErr w:type="spellStart"/>
      <w:r w:rsidRPr="00746F54">
        <w:rPr>
          <w:rFonts w:ascii="Arial" w:hAnsi="Arial" w:cs="Arial"/>
        </w:rPr>
        <w:t>i</w:t>
      </w:r>
      <w:proofErr w:type="spellEnd"/>
      <w:r w:rsidRPr="00746F54">
        <w:rPr>
          <w:rFonts w:ascii="Arial" w:hAnsi="Arial" w:cs="Arial"/>
        </w:rPr>
        <w:t xml:space="preserve"> on transmission component j of Transmission Constraint m in constraint case k (base, IRU deployment, or IRD deployment scenario) is the flow contribution on that transmission component j when an increment of power is injected at </w:t>
      </w:r>
      <w:proofErr w:type="spellStart"/>
      <w:r w:rsidRPr="00746F54">
        <w:rPr>
          <w:rFonts w:ascii="Arial" w:hAnsi="Arial" w:cs="Arial"/>
        </w:rPr>
        <w:t>Pnode</w:t>
      </w:r>
      <w:proofErr w:type="spellEnd"/>
      <w:r w:rsidRPr="00746F54">
        <w:rPr>
          <w:rFonts w:ascii="Arial" w:hAnsi="Arial" w:cs="Arial"/>
        </w:rPr>
        <w:t xml:space="preserve"> </w:t>
      </w:r>
      <w:proofErr w:type="spellStart"/>
      <w:r w:rsidRPr="00746F54">
        <w:rPr>
          <w:rFonts w:ascii="Arial" w:hAnsi="Arial" w:cs="Arial"/>
        </w:rPr>
        <w:t>i</w:t>
      </w:r>
      <w:proofErr w:type="spellEnd"/>
      <w:r w:rsidRPr="00746F54">
        <w:rPr>
          <w:rFonts w:ascii="Arial" w:hAnsi="Arial" w:cs="Arial"/>
        </w:rPr>
        <w:t xml:space="preserve"> and an equivalent amount of power is withdrawn at the Reference Bus. For Market Area Intertie Resources at a Scheduling Point, and TSRs at a Transfer Location, the PTDF to an intertie constraint or intertie scheduling limit at that Scheduling Point is +1 for an import and –1 for an export. The CAISO does not consider the effect of Transmission Losses in the calculation of PTDFs; they depend only on the network configuration. Furthermore, the difference between the PTDFs at two </w:t>
      </w:r>
      <w:proofErr w:type="spellStart"/>
      <w:r w:rsidRPr="00746F54">
        <w:rPr>
          <w:rFonts w:ascii="Arial" w:hAnsi="Arial" w:cs="Arial"/>
        </w:rPr>
        <w:t>Pnodes</w:t>
      </w:r>
      <w:proofErr w:type="spellEnd"/>
      <w:r w:rsidRPr="00746F54">
        <w:rPr>
          <w:rFonts w:ascii="Arial" w:hAnsi="Arial" w:cs="Arial"/>
        </w:rPr>
        <w:t xml:space="preserve"> with respect to any binding Transmission Constraint, and thus the difference between the MCCs of the LMPs at these </w:t>
      </w:r>
      <w:proofErr w:type="spellStart"/>
      <w:r w:rsidRPr="00746F54">
        <w:rPr>
          <w:rFonts w:ascii="Arial" w:hAnsi="Arial" w:cs="Arial"/>
        </w:rPr>
        <w:t>Pnodes</w:t>
      </w:r>
      <w:proofErr w:type="spellEnd"/>
      <w:r w:rsidRPr="00746F54">
        <w:rPr>
          <w:rFonts w:ascii="Arial" w:hAnsi="Arial" w:cs="Arial"/>
        </w:rPr>
        <w:t>, is independent from the selection of the Reference Bus.</w:t>
      </w:r>
    </w:p>
    <w:p w14:paraId="26F87459" w14:textId="77777777" w:rsidR="004D29D1" w:rsidRPr="00746F54" w:rsidRDefault="004D29D1" w:rsidP="004D29D1">
      <w:pPr>
        <w:pStyle w:val="ParaText"/>
        <w:rPr>
          <w:rFonts w:ascii="Arial" w:hAnsi="Arial" w:cs="Arial"/>
        </w:rPr>
      </w:pPr>
      <w:r w:rsidRPr="00746F54">
        <w:rPr>
          <w:rFonts w:ascii="Arial" w:hAnsi="Arial" w:cs="Arial"/>
        </w:rPr>
        <w:t>Apply the constraint coefficient for the transmission component j of Transmission Constraint m when Transmission Constraint m is a Nomogram; otherwise, this constraint coefficient is always one.</w:t>
      </w:r>
    </w:p>
    <w:p w14:paraId="24944B2F" w14:textId="77777777" w:rsidR="004D29D1" w:rsidRPr="00746F54" w:rsidRDefault="004D29D1" w:rsidP="004D29D1">
      <w:pPr>
        <w:pStyle w:val="Heading3"/>
        <w:rPr>
          <w:rFonts w:ascii="Arial" w:hAnsi="Arial" w:cs="Arial"/>
        </w:rPr>
      </w:pPr>
      <w:bookmarkStart w:id="152" w:name="_Toc211337925"/>
      <w:r w:rsidRPr="00746F54">
        <w:rPr>
          <w:rFonts w:ascii="Arial" w:hAnsi="Arial" w:cs="Arial"/>
        </w:rPr>
        <w:t>Marginal Cost of Losses (MCL)</w:t>
      </w:r>
      <w:bookmarkEnd w:id="152"/>
    </w:p>
    <w:p w14:paraId="6814FD2C" w14:textId="64C6889A" w:rsidR="004D29D1" w:rsidRPr="00746F54" w:rsidRDefault="004D29D1" w:rsidP="004D29D1">
      <w:pPr>
        <w:pStyle w:val="ParaText"/>
        <w:rPr>
          <w:rFonts w:ascii="Arial" w:hAnsi="Arial" w:cs="Arial"/>
        </w:rPr>
      </w:pPr>
      <w:r w:rsidRPr="00746F54">
        <w:rPr>
          <w:rFonts w:ascii="Arial" w:hAnsi="Arial" w:cs="Arial"/>
        </w:rPr>
        <w:t xml:space="preserve">The CAISO calculates the Marginal Cost of Losses at each </w:t>
      </w:r>
      <w:proofErr w:type="spellStart"/>
      <w:r w:rsidRPr="00746F54">
        <w:rPr>
          <w:rFonts w:ascii="Arial" w:hAnsi="Arial" w:cs="Arial"/>
        </w:rPr>
        <w:t>Pnode</w:t>
      </w:r>
      <w:proofErr w:type="spellEnd"/>
      <w:r w:rsidRPr="00746F54">
        <w:rPr>
          <w:rFonts w:ascii="Arial" w:hAnsi="Arial" w:cs="Arial"/>
        </w:rPr>
        <w:t xml:space="preserve"> as the product of the MEC and the rate for Marginal Losses at that </w:t>
      </w:r>
      <w:proofErr w:type="spellStart"/>
      <w:r w:rsidRPr="00746F54">
        <w:rPr>
          <w:rFonts w:ascii="Arial" w:hAnsi="Arial" w:cs="Arial"/>
        </w:rPr>
        <w:t>Pnode</w:t>
      </w:r>
      <w:proofErr w:type="spellEnd"/>
      <w:r w:rsidRPr="00746F54">
        <w:rPr>
          <w:rFonts w:ascii="Arial" w:hAnsi="Arial" w:cs="Arial"/>
        </w:rPr>
        <w:t xml:space="preserve">, where the rate for Marginal Losses at </w:t>
      </w:r>
      <w:proofErr w:type="spellStart"/>
      <w:r w:rsidRPr="00746F54">
        <w:rPr>
          <w:rFonts w:ascii="Arial" w:hAnsi="Arial" w:cs="Arial"/>
        </w:rPr>
        <w:t>Pnode</w:t>
      </w:r>
      <w:proofErr w:type="spellEnd"/>
      <w:r w:rsidRPr="00746F54">
        <w:rPr>
          <w:rFonts w:ascii="Arial" w:hAnsi="Arial" w:cs="Arial"/>
        </w:rPr>
        <w:t xml:space="preserve"> </w:t>
      </w:r>
      <w:proofErr w:type="spellStart"/>
      <w:r w:rsidRPr="00746F54">
        <w:rPr>
          <w:rFonts w:ascii="Arial" w:hAnsi="Arial" w:cs="Arial"/>
        </w:rPr>
        <w:t>i</w:t>
      </w:r>
      <w:proofErr w:type="spellEnd"/>
      <w:r w:rsidRPr="00746F54">
        <w:rPr>
          <w:rFonts w:ascii="Arial" w:hAnsi="Arial" w:cs="Arial"/>
        </w:rPr>
        <w:t xml:space="preserve"> is the sensitivity (partial derivative) of system losses (L) to an increment of power injected at that </w:t>
      </w:r>
      <w:proofErr w:type="spellStart"/>
      <w:r w:rsidRPr="00746F54">
        <w:rPr>
          <w:rFonts w:ascii="Arial" w:hAnsi="Arial" w:cs="Arial"/>
        </w:rPr>
        <w:t>Pnode</w:t>
      </w:r>
      <w:proofErr w:type="spellEnd"/>
      <w:r w:rsidRPr="00746F54">
        <w:rPr>
          <w:rFonts w:ascii="Arial" w:hAnsi="Arial" w:cs="Arial"/>
        </w:rPr>
        <w:t xml:space="preserve"> </w:t>
      </w:r>
      <w:proofErr w:type="spellStart"/>
      <w:r w:rsidRPr="00746F54">
        <w:rPr>
          <w:rFonts w:ascii="Arial" w:hAnsi="Arial" w:cs="Arial"/>
        </w:rPr>
        <w:t>i</w:t>
      </w:r>
      <w:proofErr w:type="spellEnd"/>
      <w:r w:rsidRPr="00746F54">
        <w:rPr>
          <w:rFonts w:ascii="Arial" w:hAnsi="Arial" w:cs="Arial"/>
        </w:rPr>
        <w:t xml:space="preserve"> and absorbed by the Reference Bus. This calculation reflects the area interchange control feature of the AC power flow where the net scheduled interchange (NSI) of a Balancing Authority Area in the FNM is kept constant while the iterative solution distributes loss deviation from the previous iteration to the Reference Bus. Consequently, the rate for Marginal Losses of the TSRs that model a Market Transfer at a Transfer Location between two Balancing Authority </w:t>
      </w:r>
      <w:r w:rsidRPr="00746F54">
        <w:rPr>
          <w:rFonts w:ascii="Arial" w:hAnsi="Arial" w:cs="Arial"/>
        </w:rPr>
        <w:lastRenderedPageBreak/>
        <w:t xml:space="preserve">Areas in the Market Area may be different because these TSRs belong to different Balancing Authority Areas. The CAISO sets the MCL for </w:t>
      </w:r>
      <w:proofErr w:type="gramStart"/>
      <w:r w:rsidRPr="00746F54">
        <w:rPr>
          <w:rFonts w:ascii="Arial" w:hAnsi="Arial" w:cs="Arial"/>
        </w:rPr>
        <w:t>both of these</w:t>
      </w:r>
      <w:proofErr w:type="gramEnd"/>
      <w:r w:rsidRPr="00746F54">
        <w:rPr>
          <w:rFonts w:ascii="Arial" w:hAnsi="Arial" w:cs="Arial"/>
        </w:rPr>
        <w:t xml:space="preserve"> TSRs to the average rate for Marginal Losses between the two so that there is no MCL difference between the TSRs on either side of a specific Market Transfer. The Marginal Losses on transmission facilities outside the Market Area are ignored in the calculation of the MCL.</w:t>
      </w:r>
    </w:p>
    <w:p w14:paraId="08417C8B" w14:textId="77777777" w:rsidR="004D29D1" w:rsidRPr="00746F54" w:rsidRDefault="004D29D1" w:rsidP="004D29D1">
      <w:pPr>
        <w:pStyle w:val="Heading3"/>
        <w:rPr>
          <w:rFonts w:ascii="Arial" w:hAnsi="Arial" w:cs="Arial"/>
        </w:rPr>
      </w:pPr>
      <w:bookmarkStart w:id="153" w:name="_Toc211337926"/>
      <w:r w:rsidRPr="00746F54">
        <w:rPr>
          <w:rFonts w:ascii="Arial" w:hAnsi="Arial" w:cs="Arial"/>
        </w:rPr>
        <w:t>Marginal Greenhouse Gas Cost (MGC)</w:t>
      </w:r>
      <w:bookmarkEnd w:id="153"/>
    </w:p>
    <w:p w14:paraId="5353A820" w14:textId="7707EDAE" w:rsidR="004D29D1" w:rsidRPr="00746F54" w:rsidRDefault="004D29D1" w:rsidP="004D29D1">
      <w:pPr>
        <w:pStyle w:val="ParaText"/>
        <w:rPr>
          <w:rFonts w:ascii="Arial" w:hAnsi="Arial" w:cs="Arial"/>
        </w:rPr>
      </w:pPr>
      <w:r w:rsidRPr="00746F54">
        <w:rPr>
          <w:rFonts w:ascii="Arial" w:hAnsi="Arial" w:cs="Arial"/>
        </w:rPr>
        <w:t xml:space="preserve">The GHG model calculates an optimal GHG Transfer for each GHG Regulation Area. If the GHG Transfer for a GHG Regulation Area is an import, it is allocated optimally to resources outside that GHG Regulation Area based on those resources’ GHG Bid Adders. In that case, the Marginal GHG Cost for all </w:t>
      </w:r>
      <w:proofErr w:type="spellStart"/>
      <w:r w:rsidRPr="00746F54">
        <w:rPr>
          <w:rFonts w:ascii="Arial" w:hAnsi="Arial" w:cs="Arial"/>
        </w:rPr>
        <w:t>Pnodes</w:t>
      </w:r>
      <w:proofErr w:type="spellEnd"/>
      <w:r w:rsidRPr="00746F54">
        <w:rPr>
          <w:rFonts w:ascii="Arial" w:hAnsi="Arial" w:cs="Arial"/>
        </w:rPr>
        <w:t xml:space="preserve"> in a specific GHG Regulation Area is the Shadow Price of the GHG Transfer allocation constraint for that GHG Regulation Area and it represents the marginal cost of GHG regulation for net import transfer into that GHG Regulation Area. If the GHG Transfer is an export, the GHG Transfer allocation constraint is not binding, all GHG attributions are zero for that GHG Regulation Area, and the Marginal GHG Cost for all </w:t>
      </w:r>
      <w:proofErr w:type="spellStart"/>
      <w:r w:rsidRPr="00746F54">
        <w:rPr>
          <w:rFonts w:ascii="Arial" w:hAnsi="Arial" w:cs="Arial"/>
        </w:rPr>
        <w:t>Pnodes</w:t>
      </w:r>
      <w:proofErr w:type="spellEnd"/>
      <w:r w:rsidRPr="00746F54">
        <w:rPr>
          <w:rFonts w:ascii="Arial" w:hAnsi="Arial" w:cs="Arial"/>
        </w:rPr>
        <w:t xml:space="preserve"> in that GHG Regulation Area is zero. The Marginal GHG Cost outside of all GHG Regulation Areas is always zero. Furthermore, the Marginal GHG Cost of a TSR is always zero, even when its Transfer Location is within or at the border of a GHG Regulation Area, because the associated GHG regulation cost is collected from the LMP settlement of all physical resources within the GHG Regulation Area and paid explicitly to the respective resources outside the GHG Regulation Area with GHG Attributions for that GHG Regulation Area.</w:t>
      </w:r>
    </w:p>
    <w:p w14:paraId="1824E5BC" w14:textId="4BDE577C" w:rsidR="004D29D1" w:rsidRPr="00746F54" w:rsidRDefault="006E66DA" w:rsidP="004D29D1">
      <w:pPr>
        <w:pStyle w:val="Heading2"/>
        <w:rPr>
          <w:rFonts w:ascii="Arial" w:hAnsi="Arial" w:cs="Arial"/>
        </w:rPr>
      </w:pPr>
      <w:bookmarkStart w:id="154" w:name="_Toc228963716"/>
      <w:r>
        <w:rPr>
          <w:rFonts w:ascii="Arial" w:hAnsi="Arial" w:cs="Arial"/>
        </w:rPr>
        <w:t>Submission of Import and Export Schedules in the EDAM</w:t>
      </w:r>
      <w:bookmarkEnd w:id="154"/>
    </w:p>
    <w:p w14:paraId="47EE4A77" w14:textId="7D33623F" w:rsidR="00411E3B" w:rsidRPr="003E0769" w:rsidRDefault="004D29D1" w:rsidP="004D29D1">
      <w:pPr>
        <w:pStyle w:val="ParaText"/>
        <w:rPr>
          <w:rFonts w:ascii="Arial" w:hAnsi="Arial" w:cs="Arial"/>
          <w:u w:val="single"/>
        </w:rPr>
      </w:pPr>
      <w:r w:rsidRPr="00746F54">
        <w:rPr>
          <w:rFonts w:ascii="Arial" w:hAnsi="Arial" w:cs="Arial"/>
          <w:u w:val="single"/>
        </w:rPr>
        <w:t xml:space="preserve">Reference tariff </w:t>
      </w:r>
      <w:r w:rsidRPr="00EE6F79">
        <w:rPr>
          <w:rFonts w:ascii="Arial" w:hAnsi="Arial" w:cs="Arial"/>
          <w:u w:val="single"/>
        </w:rPr>
        <w:t>section</w:t>
      </w:r>
      <w:r w:rsidR="00EE6F79" w:rsidRPr="00EE6F79">
        <w:rPr>
          <w:rFonts w:ascii="Arial" w:hAnsi="Arial" w:cs="Arial"/>
          <w:u w:val="single"/>
        </w:rPr>
        <w:t>s</w:t>
      </w:r>
      <w:r w:rsidR="00EE6F79">
        <w:rPr>
          <w:rFonts w:ascii="Arial" w:hAnsi="Arial" w:cs="Arial"/>
          <w:u w:val="single"/>
        </w:rPr>
        <w:t xml:space="preserve"> </w:t>
      </w:r>
      <w:r w:rsidR="009A2E44">
        <w:rPr>
          <w:rFonts w:ascii="Arial" w:hAnsi="Arial" w:cs="Arial"/>
          <w:u w:val="single"/>
        </w:rPr>
        <w:t>33.11.3.1, 33.18.1.6,</w:t>
      </w:r>
      <w:r w:rsidR="0088620A">
        <w:rPr>
          <w:rFonts w:ascii="Arial" w:hAnsi="Arial" w:cs="Arial"/>
          <w:u w:val="single"/>
        </w:rPr>
        <w:t xml:space="preserve"> 33.27.3,</w:t>
      </w:r>
      <w:r w:rsidR="009A2E44">
        <w:rPr>
          <w:rFonts w:ascii="Arial" w:hAnsi="Arial" w:cs="Arial"/>
          <w:u w:val="single"/>
        </w:rPr>
        <w:t xml:space="preserve"> 33.30.3, 33.30.8, 33.31.6</w:t>
      </w:r>
    </w:p>
    <w:p w14:paraId="100D36CA" w14:textId="4DBBECE7" w:rsidR="000748DC" w:rsidRPr="002E7413" w:rsidRDefault="000748DC" w:rsidP="002E7413">
      <w:pPr>
        <w:pStyle w:val="ParaText"/>
        <w:ind w:firstLine="720"/>
        <w:rPr>
          <w:rFonts w:ascii="Arial" w:hAnsi="Arial" w:cs="Arial"/>
          <w:b/>
          <w:bCs/>
        </w:rPr>
      </w:pPr>
      <w:r>
        <w:rPr>
          <w:rFonts w:ascii="Arial" w:hAnsi="Arial" w:cs="Arial"/>
          <w:b/>
          <w:bCs/>
        </w:rPr>
        <w:t>18.2.1</w:t>
      </w:r>
      <w:r>
        <w:rPr>
          <w:rFonts w:ascii="Arial" w:hAnsi="Arial" w:cs="Arial"/>
          <w:b/>
          <w:bCs/>
        </w:rPr>
        <w:tab/>
        <w:t>Introduction</w:t>
      </w:r>
    </w:p>
    <w:p w14:paraId="25F51490" w14:textId="550D4B21" w:rsidR="000748DC" w:rsidRDefault="000748DC" w:rsidP="004D29D1">
      <w:pPr>
        <w:pStyle w:val="ParaText"/>
        <w:rPr>
          <w:rFonts w:ascii="Arial" w:hAnsi="Arial" w:cs="Arial"/>
        </w:rPr>
      </w:pPr>
      <w:r>
        <w:rPr>
          <w:rFonts w:ascii="Arial" w:hAnsi="Arial" w:cs="Arial"/>
        </w:rPr>
        <w:t>Intertie schedules – both import and export</w:t>
      </w:r>
      <w:r w:rsidR="00505B84">
        <w:rPr>
          <w:rFonts w:ascii="Arial" w:hAnsi="Arial" w:cs="Arial"/>
        </w:rPr>
        <w:t xml:space="preserve"> bids</w:t>
      </w:r>
      <w:r>
        <w:rPr>
          <w:rFonts w:ascii="Arial" w:hAnsi="Arial" w:cs="Arial"/>
        </w:rPr>
        <w:t xml:space="preserve"> – will continue to be supported at EDAM entity interties and CAISO interties consistent with the tariff and the description below in this BPM.  </w:t>
      </w:r>
    </w:p>
    <w:p w14:paraId="36E38FD9" w14:textId="71E674AD" w:rsidR="000748DC" w:rsidRDefault="000748DC" w:rsidP="004D29D1">
      <w:pPr>
        <w:pStyle w:val="ParaText"/>
        <w:rPr>
          <w:rFonts w:ascii="Arial" w:hAnsi="Arial" w:cs="Arial"/>
        </w:rPr>
      </w:pPr>
      <w:r>
        <w:rPr>
          <w:rFonts w:ascii="Arial" w:hAnsi="Arial" w:cs="Arial"/>
        </w:rPr>
        <w:t>This section</w:t>
      </w:r>
      <w:r w:rsidR="003E0769">
        <w:rPr>
          <w:rFonts w:ascii="Arial" w:hAnsi="Arial" w:cs="Arial"/>
        </w:rPr>
        <w:t xml:space="preserve"> of the BPM</w:t>
      </w:r>
      <w:r>
        <w:rPr>
          <w:rFonts w:ascii="Arial" w:hAnsi="Arial" w:cs="Arial"/>
        </w:rPr>
        <w:t xml:space="preserve"> will describe </w:t>
      </w:r>
      <w:r w:rsidR="00505B84">
        <w:rPr>
          <w:rFonts w:ascii="Arial" w:hAnsi="Arial" w:cs="Arial"/>
        </w:rPr>
        <w:t>the submission and modeling of intertie schedules as follows:</w:t>
      </w:r>
    </w:p>
    <w:p w14:paraId="1C57BEF9" w14:textId="32DD4EE5" w:rsidR="00505B84" w:rsidRDefault="00505B84" w:rsidP="00505B84">
      <w:pPr>
        <w:pStyle w:val="ParaText"/>
        <w:numPr>
          <w:ilvl w:val="0"/>
          <w:numId w:val="143"/>
        </w:numPr>
        <w:rPr>
          <w:rFonts w:ascii="Arial" w:hAnsi="Arial" w:cs="Arial"/>
        </w:rPr>
      </w:pPr>
      <w:r>
        <w:rPr>
          <w:rFonts w:ascii="Arial" w:hAnsi="Arial" w:cs="Arial"/>
        </w:rPr>
        <w:t>Modeling of intertie schedules in EDAM</w:t>
      </w:r>
    </w:p>
    <w:p w14:paraId="26DDF63C" w14:textId="6F0F78B9" w:rsidR="00505B84" w:rsidRDefault="00120DFD" w:rsidP="00505B84">
      <w:pPr>
        <w:pStyle w:val="ParaText"/>
        <w:numPr>
          <w:ilvl w:val="0"/>
          <w:numId w:val="143"/>
        </w:numPr>
        <w:rPr>
          <w:rFonts w:ascii="Arial" w:hAnsi="Arial" w:cs="Arial"/>
        </w:rPr>
      </w:pPr>
      <w:r>
        <w:rPr>
          <w:rFonts w:ascii="Arial" w:hAnsi="Arial" w:cs="Arial"/>
        </w:rPr>
        <w:t>I</w:t>
      </w:r>
      <w:r w:rsidR="00505B84">
        <w:rPr>
          <w:rFonts w:ascii="Arial" w:hAnsi="Arial" w:cs="Arial"/>
        </w:rPr>
        <w:t>ntertie schedules at EDAM balancing area interties</w:t>
      </w:r>
      <w:r w:rsidR="00A26CA9">
        <w:rPr>
          <w:rFonts w:ascii="Arial" w:hAnsi="Arial" w:cs="Arial"/>
        </w:rPr>
        <w:t xml:space="preserve"> (non-CAISO)</w:t>
      </w:r>
    </w:p>
    <w:p w14:paraId="253142A6" w14:textId="7F96ED3E" w:rsidR="00E725CF" w:rsidRPr="00E725CF" w:rsidRDefault="00120DFD" w:rsidP="002E7413">
      <w:pPr>
        <w:pStyle w:val="ParaText"/>
        <w:numPr>
          <w:ilvl w:val="0"/>
          <w:numId w:val="143"/>
        </w:numPr>
        <w:rPr>
          <w:rFonts w:ascii="Arial" w:hAnsi="Arial" w:cs="Arial"/>
        </w:rPr>
      </w:pPr>
      <w:r>
        <w:rPr>
          <w:rFonts w:ascii="Arial" w:hAnsi="Arial" w:cs="Arial"/>
        </w:rPr>
        <w:t>I</w:t>
      </w:r>
      <w:r w:rsidR="00505B84">
        <w:rPr>
          <w:rFonts w:ascii="Arial" w:hAnsi="Arial" w:cs="Arial"/>
        </w:rPr>
        <w:t>ntertie schedules at CAISO balancing area interties</w:t>
      </w:r>
    </w:p>
    <w:p w14:paraId="350E44B2" w14:textId="1F12897D" w:rsidR="00885B9D" w:rsidRDefault="007235A5" w:rsidP="004D29D1">
      <w:pPr>
        <w:pStyle w:val="ParaText"/>
        <w:rPr>
          <w:rFonts w:ascii="Arial" w:hAnsi="Arial" w:cs="Arial"/>
        </w:rPr>
      </w:pPr>
      <w:r>
        <w:rPr>
          <w:rFonts w:ascii="Arial" w:hAnsi="Arial" w:cs="Arial"/>
        </w:rPr>
        <w:lastRenderedPageBreak/>
        <w:t>With the introduction of EDAM, interties within the market footprint between EDAM balancing areas (EDAM internal interties), become transfer locations supporting efficient energy transfers between the balancing areas</w:t>
      </w:r>
      <w:r w:rsidR="00885B9D">
        <w:rPr>
          <w:rFonts w:ascii="Arial" w:hAnsi="Arial" w:cs="Arial"/>
        </w:rPr>
        <w:t>, and are no longer biddable locations for imports or exports.  As described further below, during an initial transitional period, bids will continue to be allowed at EDAM internal interties (transfer locations) at two locations between CAISO and PacifiCorp balancing areas.</w:t>
      </w:r>
      <w:r w:rsidR="00DF32B4">
        <w:rPr>
          <w:rFonts w:ascii="Arial" w:hAnsi="Arial" w:cs="Arial"/>
        </w:rPr>
        <w:t xml:space="preserve">  </w:t>
      </w:r>
    </w:p>
    <w:p w14:paraId="4EE91178" w14:textId="4C42A691" w:rsidR="007235A5" w:rsidRDefault="00885B9D" w:rsidP="004D29D1">
      <w:pPr>
        <w:pStyle w:val="ParaText"/>
        <w:rPr>
          <w:rFonts w:ascii="Arial" w:hAnsi="Arial" w:cs="Arial"/>
        </w:rPr>
      </w:pPr>
      <w:r>
        <w:rPr>
          <w:rFonts w:ascii="Arial" w:hAnsi="Arial" w:cs="Arial"/>
        </w:rPr>
        <w:t xml:space="preserve">Intertie bids will continue to be supported at </w:t>
      </w:r>
      <w:r w:rsidR="00C352B0">
        <w:rPr>
          <w:rFonts w:ascii="Arial" w:hAnsi="Arial" w:cs="Arial"/>
        </w:rPr>
        <w:t xml:space="preserve">EDAM external interties – both imports and exports </w:t>
      </w:r>
      <w:r w:rsidR="00DF35B1">
        <w:rPr>
          <w:rFonts w:ascii="Arial" w:hAnsi="Arial" w:cs="Arial"/>
        </w:rPr>
        <w:t>–</w:t>
      </w:r>
      <w:r w:rsidR="00C352B0">
        <w:rPr>
          <w:rFonts w:ascii="Arial" w:hAnsi="Arial" w:cs="Arial"/>
        </w:rPr>
        <w:t xml:space="preserve"> </w:t>
      </w:r>
      <w:r w:rsidR="00DF35B1">
        <w:rPr>
          <w:rFonts w:ascii="Arial" w:hAnsi="Arial" w:cs="Arial"/>
        </w:rPr>
        <w:t xml:space="preserve">which are interties between an EDAM balancing area and non-EDAM balancing area.  At CAISO interties with non-EDAM balancing areas, intertie scheduling for exports and imports remains available </w:t>
      </w:r>
      <w:r w:rsidR="00DF32B4">
        <w:rPr>
          <w:rFonts w:ascii="Arial" w:hAnsi="Arial" w:cs="Arial"/>
        </w:rPr>
        <w:t xml:space="preserve">as today, with </w:t>
      </w:r>
      <w:r w:rsidR="00E725CF">
        <w:rPr>
          <w:rFonts w:ascii="Arial" w:hAnsi="Arial" w:cs="Arial"/>
        </w:rPr>
        <w:t>continued ability to submit</w:t>
      </w:r>
      <w:r w:rsidR="00DF32B4">
        <w:rPr>
          <w:rFonts w:ascii="Arial" w:hAnsi="Arial" w:cs="Arial"/>
        </w:rPr>
        <w:t xml:space="preserve"> self-schedules or economic bids at these interties.</w:t>
      </w:r>
      <w:r w:rsidR="00E725CF">
        <w:rPr>
          <w:rFonts w:ascii="Arial" w:hAnsi="Arial" w:cs="Arial"/>
        </w:rPr>
        <w:t xml:space="preserve">  At </w:t>
      </w:r>
      <w:r w:rsidR="00CD27DF">
        <w:rPr>
          <w:rFonts w:ascii="Arial" w:hAnsi="Arial" w:cs="Arial"/>
        </w:rPr>
        <w:t xml:space="preserve">EDAM entity interties (non-CAISO) with a non-EDAM balancing area, intertie </w:t>
      </w:r>
      <w:r w:rsidR="00583480">
        <w:rPr>
          <w:rFonts w:ascii="Arial" w:hAnsi="Arial" w:cs="Arial"/>
        </w:rPr>
        <w:t xml:space="preserve">scheduling for exports and imports is also supported, with the ability to submit self-schedules or otherwise economic bids associated with imports of designated network resources under the terms of the EDAM entity OATT.  </w:t>
      </w:r>
    </w:p>
    <w:p w14:paraId="71154729" w14:textId="1C8AA362" w:rsidR="003E0769" w:rsidRPr="002E7413" w:rsidRDefault="003E0769" w:rsidP="002E7413">
      <w:pPr>
        <w:pStyle w:val="ParaText"/>
        <w:ind w:firstLine="720"/>
        <w:rPr>
          <w:rFonts w:ascii="Arial" w:hAnsi="Arial" w:cs="Arial"/>
          <w:b/>
          <w:bCs/>
        </w:rPr>
      </w:pPr>
      <w:r>
        <w:rPr>
          <w:rFonts w:ascii="Arial" w:hAnsi="Arial" w:cs="Arial"/>
          <w:b/>
          <w:bCs/>
        </w:rPr>
        <w:t>18.2.</w:t>
      </w:r>
      <w:r w:rsidR="007235A5">
        <w:rPr>
          <w:rFonts w:ascii="Arial" w:hAnsi="Arial" w:cs="Arial"/>
          <w:b/>
          <w:bCs/>
        </w:rPr>
        <w:t>2</w:t>
      </w:r>
      <w:r>
        <w:rPr>
          <w:rFonts w:ascii="Arial" w:hAnsi="Arial" w:cs="Arial"/>
          <w:b/>
          <w:bCs/>
        </w:rPr>
        <w:tab/>
        <w:t>Modeling of Intertie Schedules in EDAM</w:t>
      </w:r>
    </w:p>
    <w:p w14:paraId="1A7D95FC" w14:textId="1EBCA2FF" w:rsidR="003E0769" w:rsidRDefault="003C510B" w:rsidP="004D29D1">
      <w:pPr>
        <w:pStyle w:val="ParaText"/>
        <w:rPr>
          <w:rFonts w:ascii="Arial" w:hAnsi="Arial" w:cs="Arial"/>
        </w:rPr>
      </w:pPr>
      <w:r>
        <w:rPr>
          <w:rFonts w:ascii="Arial" w:hAnsi="Arial" w:cs="Arial"/>
        </w:rPr>
        <w:t xml:space="preserve">Intertie schedules at EDAM external interties between an EDAM balancing area and a non-EDAM balancing area will be modeled under the Generation Aggregation Point (GAP-Tie) model.  Under this modeling design, intertie schedules submitted at a particular intertie are modeled as if the energy injection at the intertie location is sourcing from an aggregation of resources adjacent non-EDAM balancing area.  The model considers the shift factor effect of the aggregate generation from the adjacent non-EDAM balancing area on constraints in the EDAM footprint and supports establishment of the LMP at the intertie location associated with the GAP-Tie.  </w:t>
      </w:r>
    </w:p>
    <w:p w14:paraId="661D3C3F" w14:textId="0E477F2C" w:rsidR="003C510B" w:rsidRDefault="003C510B" w:rsidP="004D29D1">
      <w:pPr>
        <w:pStyle w:val="ParaText"/>
        <w:rPr>
          <w:rFonts w:ascii="Arial" w:hAnsi="Arial" w:cs="Arial"/>
        </w:rPr>
      </w:pPr>
      <w:r>
        <w:rPr>
          <w:rFonts w:ascii="Arial" w:hAnsi="Arial" w:cs="Arial"/>
        </w:rPr>
        <w:t xml:space="preserve">The GAP-Tie modeling design of intertie schedules is currently in place in the WEIM, at WEIM interties, and the modeling is retained at the intertie locations once the entity extends participation to the EDAM.  </w:t>
      </w:r>
    </w:p>
    <w:p w14:paraId="1D265BCF" w14:textId="7538C22C" w:rsidR="000C7E8B" w:rsidRDefault="000C7E8B" w:rsidP="004D29D1">
      <w:pPr>
        <w:pStyle w:val="ParaText"/>
        <w:rPr>
          <w:rFonts w:ascii="Arial" w:hAnsi="Arial" w:cs="Arial"/>
        </w:rPr>
      </w:pPr>
      <w:r>
        <w:rPr>
          <w:rFonts w:ascii="Arial" w:hAnsi="Arial" w:cs="Arial"/>
        </w:rPr>
        <w:t xml:space="preserve">On a transitional basis, intertie schedules at CAISO interties will continue to be modeled under the existing modeling structure for these interties – the Schedule Point Tie (SP-Tie) model.  Under the SP-Tie model for intertie schedules, energy injections are modeled as occurring directly at the intertie location of the CAISO and another balancing area.  </w:t>
      </w:r>
      <w:r w:rsidR="001F0537">
        <w:rPr>
          <w:rFonts w:ascii="Arial" w:hAnsi="Arial" w:cs="Arial"/>
        </w:rPr>
        <w:t xml:space="preserve">In the Full Network Model, the ISO models a generator at the intertie location to model the energy injection and associated effects on constraints which support the establishment of the LMP at the intertie location.  </w:t>
      </w:r>
    </w:p>
    <w:p w14:paraId="708C27C6" w14:textId="189675B9" w:rsidR="00624858" w:rsidRDefault="00624858" w:rsidP="004D29D1">
      <w:pPr>
        <w:pStyle w:val="ParaText"/>
        <w:rPr>
          <w:rFonts w:ascii="Arial" w:hAnsi="Arial" w:cs="Arial"/>
        </w:rPr>
      </w:pPr>
      <w:r>
        <w:rPr>
          <w:rFonts w:ascii="Arial" w:hAnsi="Arial" w:cs="Arial"/>
        </w:rPr>
        <w:lastRenderedPageBreak/>
        <w:t>For additional information on Generation Aggregation Points and Settlement of the Day Ahead Market at these locations, please refer to Appendix C of the tariff.</w:t>
      </w:r>
    </w:p>
    <w:p w14:paraId="3B7EC799" w14:textId="3B1DEFC0" w:rsidR="00120DFD" w:rsidRPr="00A34348" w:rsidRDefault="00120DFD" w:rsidP="00120DFD">
      <w:pPr>
        <w:pStyle w:val="ParaText"/>
        <w:ind w:firstLine="720"/>
        <w:rPr>
          <w:rFonts w:ascii="Arial" w:hAnsi="Arial" w:cs="Arial"/>
          <w:b/>
          <w:bCs/>
        </w:rPr>
      </w:pPr>
      <w:r>
        <w:rPr>
          <w:rFonts w:ascii="Arial" w:hAnsi="Arial" w:cs="Arial"/>
          <w:b/>
          <w:bCs/>
        </w:rPr>
        <w:t>18.2.3</w:t>
      </w:r>
      <w:r>
        <w:rPr>
          <w:rFonts w:ascii="Arial" w:hAnsi="Arial" w:cs="Arial"/>
          <w:b/>
          <w:bCs/>
        </w:rPr>
        <w:tab/>
        <w:t xml:space="preserve">Intertie Schedules </w:t>
      </w:r>
      <w:r w:rsidR="00A26CA9">
        <w:rPr>
          <w:rFonts w:ascii="Arial" w:hAnsi="Arial" w:cs="Arial"/>
          <w:b/>
          <w:bCs/>
        </w:rPr>
        <w:t>at EDAM Balancing Area Interties (Non-CAISO)</w:t>
      </w:r>
    </w:p>
    <w:p w14:paraId="0189A537" w14:textId="2A2DBA1C" w:rsidR="00120DFD" w:rsidRDefault="00AF18B0" w:rsidP="004D29D1">
      <w:pPr>
        <w:pStyle w:val="ParaText"/>
        <w:rPr>
          <w:rFonts w:ascii="Arial" w:hAnsi="Arial" w:cs="Arial"/>
        </w:rPr>
      </w:pPr>
      <w:r>
        <w:rPr>
          <w:rFonts w:ascii="Arial" w:hAnsi="Arial" w:cs="Arial"/>
        </w:rPr>
        <w:t>Intertie scheduling of imports and exports continues to be supported at EDAM external interties – those interties between EDAM balancing areas and non-EDAM balancing areas.  At these interties of the EDAM balancing area (non-CAISO) that represent the borders of the market footprint, intertie schedules are modeled under the GAP-Tie design discussed above.</w:t>
      </w:r>
    </w:p>
    <w:p w14:paraId="00835D83" w14:textId="0FE07E63" w:rsidR="00AF18B0" w:rsidRDefault="00AF18B0" w:rsidP="004D29D1">
      <w:pPr>
        <w:pStyle w:val="ParaText"/>
        <w:rPr>
          <w:rFonts w:ascii="Arial" w:hAnsi="Arial" w:cs="Arial"/>
        </w:rPr>
      </w:pPr>
      <w:proofErr w:type="gramStart"/>
      <w:r>
        <w:rPr>
          <w:rFonts w:ascii="Arial" w:hAnsi="Arial" w:cs="Arial"/>
        </w:rPr>
        <w:t>In order to</w:t>
      </w:r>
      <w:proofErr w:type="gramEnd"/>
      <w:r>
        <w:rPr>
          <w:rFonts w:ascii="Arial" w:hAnsi="Arial" w:cs="Arial"/>
        </w:rPr>
        <w:t xml:space="preserve"> submit import or export bids at these location (self-schedules or economic bids</w:t>
      </w:r>
      <w:r>
        <w:rPr>
          <w:rStyle w:val="FootnoteReference"/>
          <w:rFonts w:ascii="Arial" w:hAnsi="Arial" w:cs="Arial"/>
        </w:rPr>
        <w:footnoteReference w:id="7"/>
      </w:r>
      <w:r>
        <w:rPr>
          <w:rFonts w:ascii="Arial" w:hAnsi="Arial" w:cs="Arial"/>
        </w:rPr>
        <w:t>)</w:t>
      </w:r>
      <w:r w:rsidR="00770DB5">
        <w:rPr>
          <w:rFonts w:ascii="Arial" w:hAnsi="Arial" w:cs="Arial"/>
        </w:rPr>
        <w:t xml:space="preserve">, the Scheduling Coordinator must register a system resource through the Masterfile process associated with the specific </w:t>
      </w:r>
      <w:proofErr w:type="gramStart"/>
      <w:r w:rsidR="00770DB5">
        <w:rPr>
          <w:rFonts w:ascii="Arial" w:hAnsi="Arial" w:cs="Arial"/>
        </w:rPr>
        <w:t>intertie</w:t>
      </w:r>
      <w:proofErr w:type="gramEnd"/>
      <w:r w:rsidR="00EA6987">
        <w:rPr>
          <w:rFonts w:ascii="Arial" w:hAnsi="Arial" w:cs="Arial"/>
        </w:rPr>
        <w:t>:</w:t>
      </w:r>
    </w:p>
    <w:p w14:paraId="4F745E60" w14:textId="7132BD13" w:rsidR="00EA6987" w:rsidRDefault="00EA6987" w:rsidP="00EA6987">
      <w:pPr>
        <w:pStyle w:val="ParaText"/>
        <w:numPr>
          <w:ilvl w:val="0"/>
          <w:numId w:val="144"/>
        </w:numPr>
        <w:rPr>
          <w:rFonts w:ascii="Arial" w:hAnsi="Arial" w:cs="Arial"/>
        </w:rPr>
      </w:pPr>
      <w:r>
        <w:rPr>
          <w:rFonts w:ascii="Arial" w:hAnsi="Arial" w:cs="Arial"/>
        </w:rPr>
        <w:t xml:space="preserve">For imports, </w:t>
      </w:r>
      <w:proofErr w:type="gramStart"/>
      <w:r>
        <w:rPr>
          <w:rFonts w:ascii="Arial" w:hAnsi="Arial" w:cs="Arial"/>
        </w:rPr>
        <w:t>must</w:t>
      </w:r>
      <w:proofErr w:type="gramEnd"/>
      <w:r>
        <w:rPr>
          <w:rFonts w:ascii="Arial" w:hAnsi="Arial" w:cs="Arial"/>
        </w:rPr>
        <w:t xml:space="preserve"> register an import system resource</w:t>
      </w:r>
    </w:p>
    <w:p w14:paraId="1BA532A4" w14:textId="22C4CEFE" w:rsidR="00EA6987" w:rsidRDefault="00EA6987" w:rsidP="00EA6987">
      <w:pPr>
        <w:pStyle w:val="ParaText"/>
        <w:numPr>
          <w:ilvl w:val="0"/>
          <w:numId w:val="144"/>
        </w:numPr>
        <w:rPr>
          <w:rFonts w:ascii="Arial" w:hAnsi="Arial" w:cs="Arial"/>
        </w:rPr>
      </w:pPr>
      <w:r>
        <w:rPr>
          <w:rFonts w:ascii="Arial" w:hAnsi="Arial" w:cs="Arial"/>
        </w:rPr>
        <w:t xml:space="preserve">For exports, </w:t>
      </w:r>
      <w:proofErr w:type="gramStart"/>
      <w:r>
        <w:rPr>
          <w:rFonts w:ascii="Arial" w:hAnsi="Arial" w:cs="Arial"/>
        </w:rPr>
        <w:t>must</w:t>
      </w:r>
      <w:proofErr w:type="gramEnd"/>
      <w:r>
        <w:rPr>
          <w:rFonts w:ascii="Arial" w:hAnsi="Arial" w:cs="Arial"/>
        </w:rPr>
        <w:t xml:space="preserve"> register an export system resource</w:t>
      </w:r>
    </w:p>
    <w:p w14:paraId="0661930B" w14:textId="254B3418" w:rsidR="00EA6987" w:rsidRDefault="00EA6987" w:rsidP="00EA6987">
      <w:pPr>
        <w:pStyle w:val="ParaText"/>
        <w:rPr>
          <w:rFonts w:ascii="Arial" w:hAnsi="Arial" w:cs="Arial"/>
        </w:rPr>
      </w:pPr>
      <w:r>
        <w:rPr>
          <w:rFonts w:ascii="Arial" w:hAnsi="Arial" w:cs="Arial"/>
        </w:rPr>
        <w:t xml:space="preserve">Through the Masterfile registration process, the Scheduling Coordinator will further identify the associated GAP-Tie for the </w:t>
      </w:r>
      <w:proofErr w:type="gramStart"/>
      <w:r>
        <w:rPr>
          <w:rFonts w:ascii="Arial" w:hAnsi="Arial" w:cs="Arial"/>
        </w:rPr>
        <w:t>particular system</w:t>
      </w:r>
      <w:proofErr w:type="gramEnd"/>
      <w:r>
        <w:rPr>
          <w:rFonts w:ascii="Arial" w:hAnsi="Arial" w:cs="Arial"/>
        </w:rPr>
        <w:t xml:space="preserve"> resource.  The Scheduling Coordinator may register multiple system resources or pre-register system resource in anticipation of submission of intertie schedules recognizing the Masterfile processing timelines.  Once the system resource is established, the Scheduling Coordinator will receive a Resource ID which will be utilized to support import and export scheduling at the </w:t>
      </w:r>
      <w:proofErr w:type="gramStart"/>
      <w:r>
        <w:rPr>
          <w:rFonts w:ascii="Arial" w:hAnsi="Arial" w:cs="Arial"/>
        </w:rPr>
        <w:t>particular intertie</w:t>
      </w:r>
      <w:proofErr w:type="gramEnd"/>
      <w:r>
        <w:rPr>
          <w:rFonts w:ascii="Arial" w:hAnsi="Arial" w:cs="Arial"/>
        </w:rPr>
        <w:t xml:space="preserve"> location.  </w:t>
      </w:r>
    </w:p>
    <w:p w14:paraId="52337528" w14:textId="32FFF96B" w:rsidR="003C4ADB" w:rsidRDefault="003C4ADB" w:rsidP="00EA6987">
      <w:pPr>
        <w:pStyle w:val="ParaText"/>
        <w:rPr>
          <w:rFonts w:ascii="Arial" w:hAnsi="Arial" w:cs="Arial"/>
        </w:rPr>
      </w:pPr>
      <w:r>
        <w:rPr>
          <w:rFonts w:ascii="Arial" w:hAnsi="Arial" w:cs="Arial"/>
        </w:rPr>
        <w:t>With a registered system resource and associated Resource ID, the Scheduling Coordinator can submit intertie bids in both the Day-Ahead and Real-Time Markets much as this is done today.  Any resulting intertie schedules will be settled in their respective markets.</w:t>
      </w:r>
    </w:p>
    <w:p w14:paraId="17FDF16F" w14:textId="3F2EB0F7" w:rsidR="00423198" w:rsidRPr="00A34348" w:rsidRDefault="00423198" w:rsidP="00423198">
      <w:pPr>
        <w:pStyle w:val="ParaText"/>
        <w:ind w:firstLine="720"/>
        <w:rPr>
          <w:rFonts w:ascii="Arial" w:hAnsi="Arial" w:cs="Arial"/>
          <w:b/>
          <w:bCs/>
        </w:rPr>
      </w:pPr>
      <w:r>
        <w:rPr>
          <w:rFonts w:ascii="Arial" w:hAnsi="Arial" w:cs="Arial"/>
          <w:b/>
          <w:bCs/>
        </w:rPr>
        <w:t>18.2.4</w:t>
      </w:r>
      <w:r>
        <w:rPr>
          <w:rFonts w:ascii="Arial" w:hAnsi="Arial" w:cs="Arial"/>
          <w:b/>
          <w:bCs/>
        </w:rPr>
        <w:tab/>
        <w:t xml:space="preserve">Intertie Schedules at </w:t>
      </w:r>
      <w:r w:rsidR="00285672">
        <w:rPr>
          <w:rFonts w:ascii="Arial" w:hAnsi="Arial" w:cs="Arial"/>
          <w:b/>
          <w:bCs/>
        </w:rPr>
        <w:t>CAISO Balancing Area Interties</w:t>
      </w:r>
    </w:p>
    <w:p w14:paraId="543644D7" w14:textId="71544FE5" w:rsidR="00423198" w:rsidRDefault="00285672" w:rsidP="00EA6987">
      <w:pPr>
        <w:pStyle w:val="ParaText"/>
        <w:rPr>
          <w:rFonts w:ascii="Arial" w:hAnsi="Arial" w:cs="Arial"/>
        </w:rPr>
      </w:pPr>
      <w:r>
        <w:rPr>
          <w:rFonts w:ascii="Arial" w:hAnsi="Arial" w:cs="Arial"/>
        </w:rPr>
        <w:t xml:space="preserve">Intertie schedules on the CAISO interties will be modeled under the SP-Tie model as described above during a transitional period as the ISO and stakeholders discuss transitioning to GAP-Tie modeling of intertie schedules on the CAISO interties at a future point after EDAM has been implemented.  </w:t>
      </w:r>
    </w:p>
    <w:p w14:paraId="79E875F9" w14:textId="6F0D1205" w:rsidR="00063162" w:rsidRDefault="00063162" w:rsidP="00EA6987">
      <w:pPr>
        <w:pStyle w:val="ParaText"/>
        <w:rPr>
          <w:rFonts w:ascii="Arial" w:hAnsi="Arial" w:cs="Arial"/>
        </w:rPr>
      </w:pPr>
      <w:r>
        <w:rPr>
          <w:rFonts w:ascii="Arial" w:hAnsi="Arial" w:cs="Arial"/>
        </w:rPr>
        <w:lastRenderedPageBreak/>
        <w:t>This sub-section will describe intertie scheduling at CAISO balancing area interties:</w:t>
      </w:r>
    </w:p>
    <w:p w14:paraId="3D8705AB" w14:textId="624B3FC9" w:rsidR="00063162" w:rsidRDefault="00063162" w:rsidP="00063162">
      <w:pPr>
        <w:pStyle w:val="ParaText"/>
        <w:numPr>
          <w:ilvl w:val="0"/>
          <w:numId w:val="145"/>
        </w:numPr>
        <w:rPr>
          <w:rFonts w:ascii="Arial" w:hAnsi="Arial" w:cs="Arial"/>
        </w:rPr>
      </w:pPr>
      <w:r>
        <w:rPr>
          <w:rFonts w:ascii="Arial" w:hAnsi="Arial" w:cs="Arial"/>
        </w:rPr>
        <w:t>CAISO balancing area interties with non-EDAM balancing areas</w:t>
      </w:r>
    </w:p>
    <w:p w14:paraId="794E164E" w14:textId="4589E22E" w:rsidR="00063162" w:rsidRDefault="00063162" w:rsidP="00063162">
      <w:pPr>
        <w:pStyle w:val="ParaText"/>
        <w:numPr>
          <w:ilvl w:val="0"/>
          <w:numId w:val="145"/>
        </w:numPr>
        <w:rPr>
          <w:rFonts w:ascii="Arial" w:hAnsi="Arial" w:cs="Arial"/>
        </w:rPr>
      </w:pPr>
      <w:r>
        <w:rPr>
          <w:rFonts w:ascii="Arial" w:hAnsi="Arial" w:cs="Arial"/>
        </w:rPr>
        <w:t xml:space="preserve">CAISO balancing area interties with EDAM balancing areas (transfer locations) during </w:t>
      </w:r>
      <w:r w:rsidR="003D4AC4">
        <w:rPr>
          <w:rFonts w:ascii="Arial" w:hAnsi="Arial" w:cs="Arial"/>
        </w:rPr>
        <w:t xml:space="preserve">the </w:t>
      </w:r>
      <w:r>
        <w:rPr>
          <w:rFonts w:ascii="Arial" w:hAnsi="Arial" w:cs="Arial"/>
        </w:rPr>
        <w:t>transitional period</w:t>
      </w:r>
    </w:p>
    <w:p w14:paraId="2CC45569" w14:textId="0B3E80AE" w:rsidR="004E0D9B" w:rsidRDefault="004E0D9B" w:rsidP="004E0D9B">
      <w:pPr>
        <w:pStyle w:val="ParaText"/>
        <w:ind w:left="1080"/>
        <w:rPr>
          <w:rFonts w:ascii="Arial" w:hAnsi="Arial" w:cs="Arial"/>
          <w:b/>
          <w:bCs/>
        </w:rPr>
      </w:pPr>
      <w:r>
        <w:rPr>
          <w:rFonts w:ascii="Arial" w:hAnsi="Arial" w:cs="Arial"/>
          <w:b/>
          <w:bCs/>
        </w:rPr>
        <w:t>18.2.4.1</w:t>
      </w:r>
      <w:r>
        <w:rPr>
          <w:rFonts w:ascii="Arial" w:hAnsi="Arial" w:cs="Arial"/>
          <w:b/>
          <w:bCs/>
        </w:rPr>
        <w:tab/>
        <w:t>Intertie Schedules at CAISO Balancing Area Interties with Non-EDAM Balancing Area</w:t>
      </w:r>
    </w:p>
    <w:p w14:paraId="5D0794F4" w14:textId="26C08195" w:rsidR="004E0D9B" w:rsidRPr="002E7413" w:rsidRDefault="004E0D9B" w:rsidP="002E7413">
      <w:pPr>
        <w:pStyle w:val="ParaText"/>
        <w:rPr>
          <w:rFonts w:ascii="Arial" w:hAnsi="Arial" w:cs="Arial"/>
        </w:rPr>
      </w:pPr>
      <w:r>
        <w:rPr>
          <w:rFonts w:ascii="Arial" w:hAnsi="Arial" w:cs="Arial"/>
        </w:rPr>
        <w:t xml:space="preserve">Participation in the market at CAISO balancing area interties </w:t>
      </w:r>
      <w:r w:rsidR="009C4545">
        <w:rPr>
          <w:rFonts w:ascii="Arial" w:hAnsi="Arial" w:cs="Arial"/>
        </w:rPr>
        <w:t xml:space="preserve">with non-EDAM balancing areas </w:t>
      </w:r>
      <w:r w:rsidR="00C95132">
        <w:rPr>
          <w:rFonts w:ascii="Arial" w:hAnsi="Arial" w:cs="Arial"/>
        </w:rPr>
        <w:t>continue</w:t>
      </w:r>
      <w:r w:rsidR="009C4545">
        <w:rPr>
          <w:rFonts w:ascii="Arial" w:hAnsi="Arial" w:cs="Arial"/>
        </w:rPr>
        <w:t xml:space="preserve"> to function as it does prior to EDAM implementation since the CAISO will be retaining the SP-Tie scheduling modeling approach for intertie schedules during the transitional period.  </w:t>
      </w:r>
    </w:p>
    <w:p w14:paraId="4C988F23" w14:textId="77777777" w:rsidR="004B7A59" w:rsidRDefault="009C4545" w:rsidP="004E0D9B">
      <w:pPr>
        <w:pStyle w:val="ParaText"/>
        <w:rPr>
          <w:rFonts w:ascii="Arial" w:hAnsi="Arial" w:cs="Arial"/>
        </w:rPr>
      </w:pPr>
      <w:r>
        <w:rPr>
          <w:rFonts w:ascii="Arial" w:hAnsi="Arial" w:cs="Arial"/>
        </w:rPr>
        <w:t>Scheduling coordinators can submit intertie bids, self-schedule</w:t>
      </w:r>
      <w:r w:rsidR="00374B52">
        <w:rPr>
          <w:rFonts w:ascii="Arial" w:hAnsi="Arial" w:cs="Arial"/>
        </w:rPr>
        <w:t xml:space="preserve"> and economic bids, at CAISO interties with non-EDAM balancing areas in the Day-Ahead and Real-Time markets.</w:t>
      </w:r>
      <w:r w:rsidR="004B7A59">
        <w:rPr>
          <w:rFonts w:ascii="Arial" w:hAnsi="Arial" w:cs="Arial"/>
        </w:rPr>
        <w:t xml:space="preserve">  </w:t>
      </w:r>
      <w:proofErr w:type="gramStart"/>
      <w:r w:rsidR="004B7A59">
        <w:rPr>
          <w:rFonts w:ascii="Arial" w:hAnsi="Arial" w:cs="Arial"/>
        </w:rPr>
        <w:t>In order to</w:t>
      </w:r>
      <w:proofErr w:type="gramEnd"/>
      <w:r w:rsidR="004B7A59">
        <w:rPr>
          <w:rFonts w:ascii="Arial" w:hAnsi="Arial" w:cs="Arial"/>
        </w:rPr>
        <w:t xml:space="preserve"> submit intertie bids at these locations, a Scheduling Coordinator can:</w:t>
      </w:r>
    </w:p>
    <w:p w14:paraId="6FF214DF" w14:textId="742CF314" w:rsidR="004B7A59" w:rsidRDefault="004B7A59" w:rsidP="004B7A59">
      <w:pPr>
        <w:pStyle w:val="ParaText"/>
        <w:numPr>
          <w:ilvl w:val="0"/>
          <w:numId w:val="146"/>
        </w:numPr>
        <w:rPr>
          <w:rFonts w:ascii="Arial" w:hAnsi="Arial" w:cs="Arial"/>
        </w:rPr>
      </w:pPr>
      <w:r>
        <w:rPr>
          <w:rFonts w:ascii="Arial" w:hAnsi="Arial" w:cs="Arial"/>
        </w:rPr>
        <w:t xml:space="preserve">Register a system resource (import or export) through the Masterfile process, which provides a resource ID; or </w:t>
      </w:r>
    </w:p>
    <w:p w14:paraId="49E6C1F4" w14:textId="67FE565E" w:rsidR="004B7A59" w:rsidRDefault="004B7A59" w:rsidP="002E7413">
      <w:pPr>
        <w:pStyle w:val="ParaText"/>
        <w:numPr>
          <w:ilvl w:val="0"/>
          <w:numId w:val="146"/>
        </w:numPr>
        <w:rPr>
          <w:rFonts w:ascii="Arial" w:hAnsi="Arial" w:cs="Arial"/>
        </w:rPr>
      </w:pPr>
      <w:r>
        <w:rPr>
          <w:rFonts w:ascii="Arial" w:hAnsi="Arial" w:cs="Arial"/>
        </w:rPr>
        <w:t>Establish a transaction ID for that import transaction.</w:t>
      </w:r>
    </w:p>
    <w:p w14:paraId="1C5F2722" w14:textId="7784856D" w:rsidR="003D4AC4" w:rsidRDefault="00374B52" w:rsidP="004E0D9B">
      <w:pPr>
        <w:pStyle w:val="ParaText"/>
        <w:rPr>
          <w:rFonts w:ascii="Arial" w:hAnsi="Arial" w:cs="Arial"/>
        </w:rPr>
      </w:pPr>
      <w:r>
        <w:rPr>
          <w:rFonts w:ascii="Arial" w:hAnsi="Arial" w:cs="Arial"/>
        </w:rPr>
        <w:t xml:space="preserve">Intertie bids submitted at </w:t>
      </w:r>
      <w:r w:rsidR="004B7A59">
        <w:rPr>
          <w:rFonts w:ascii="Arial" w:hAnsi="Arial" w:cs="Arial"/>
        </w:rPr>
        <w:t>CAISO balancing area intertie locations with non-EDAM balancing areas</w:t>
      </w:r>
      <w:r>
        <w:rPr>
          <w:rFonts w:ascii="Arial" w:hAnsi="Arial" w:cs="Arial"/>
        </w:rPr>
        <w:t xml:space="preserve"> </w:t>
      </w:r>
      <w:r w:rsidR="00DE41D9">
        <w:rPr>
          <w:rFonts w:ascii="Arial" w:hAnsi="Arial" w:cs="Arial"/>
        </w:rPr>
        <w:t xml:space="preserve">will be settled at the LMP for that specific intertie location.  </w:t>
      </w:r>
    </w:p>
    <w:p w14:paraId="72AA8EC4" w14:textId="001F1C28" w:rsidR="00DE41D9" w:rsidRDefault="00DE41D9" w:rsidP="004E0D9B">
      <w:pPr>
        <w:pStyle w:val="ParaText"/>
        <w:rPr>
          <w:rFonts w:ascii="Arial" w:hAnsi="Arial" w:cs="Arial"/>
        </w:rPr>
      </w:pPr>
      <w:r>
        <w:rPr>
          <w:rFonts w:ascii="Arial" w:hAnsi="Arial" w:cs="Arial"/>
        </w:rPr>
        <w:t xml:space="preserve">For intertie schedules at interties </w:t>
      </w:r>
      <w:r w:rsidR="006A1A64">
        <w:rPr>
          <w:rFonts w:ascii="Arial" w:hAnsi="Arial" w:cs="Arial"/>
        </w:rPr>
        <w:t xml:space="preserve">locations </w:t>
      </w:r>
      <w:r>
        <w:rPr>
          <w:rFonts w:ascii="Arial" w:hAnsi="Arial" w:cs="Arial"/>
        </w:rPr>
        <w:t>between the CAISO balancing area and a WEIM balancing area, intertie schedules in the HASP will not be</w:t>
      </w:r>
      <w:r w:rsidR="006A1A64">
        <w:rPr>
          <w:rFonts w:ascii="Arial" w:hAnsi="Arial" w:cs="Arial"/>
        </w:rPr>
        <w:t xml:space="preserve"> further</w:t>
      </w:r>
      <w:r>
        <w:rPr>
          <w:rFonts w:ascii="Arial" w:hAnsi="Arial" w:cs="Arial"/>
        </w:rPr>
        <w:t xml:space="preserve"> re-optimized in the FMM</w:t>
      </w:r>
      <w:r w:rsidR="006A1A64">
        <w:rPr>
          <w:rFonts w:ascii="Arial" w:hAnsi="Arial" w:cs="Arial"/>
        </w:rPr>
        <w:t xml:space="preserve">.  </w:t>
      </w:r>
      <w:r w:rsidR="002D5442">
        <w:rPr>
          <w:rFonts w:ascii="Arial" w:hAnsi="Arial" w:cs="Arial"/>
        </w:rPr>
        <w:t>This limitation does not apply to dynamically scheduled resources, subject to a Dynamic Scheduling Agreement, and intertie schedules from these resources can continue to be re-optimized in the FMM during the transitional period.</w:t>
      </w:r>
    </w:p>
    <w:p w14:paraId="1C87D80B" w14:textId="4F93BC45" w:rsidR="006A1A64" w:rsidRDefault="006A1A64" w:rsidP="006A1A64">
      <w:pPr>
        <w:pStyle w:val="ParaText"/>
        <w:ind w:left="1080"/>
        <w:rPr>
          <w:rFonts w:ascii="Arial" w:hAnsi="Arial" w:cs="Arial"/>
          <w:b/>
          <w:bCs/>
        </w:rPr>
      </w:pPr>
      <w:r>
        <w:rPr>
          <w:rFonts w:ascii="Arial" w:hAnsi="Arial" w:cs="Arial"/>
          <w:b/>
          <w:bCs/>
        </w:rPr>
        <w:t>18.2.4.2</w:t>
      </w:r>
      <w:r>
        <w:rPr>
          <w:rFonts w:ascii="Arial" w:hAnsi="Arial" w:cs="Arial"/>
          <w:b/>
          <w:bCs/>
        </w:rPr>
        <w:tab/>
        <w:t xml:space="preserve">Intertie Schedules at CAISO Balancing Area Interties with </w:t>
      </w:r>
      <w:r w:rsidR="003B770D">
        <w:rPr>
          <w:rFonts w:ascii="Arial" w:hAnsi="Arial" w:cs="Arial"/>
          <w:b/>
          <w:bCs/>
        </w:rPr>
        <w:t xml:space="preserve">an </w:t>
      </w:r>
      <w:r>
        <w:rPr>
          <w:rFonts w:ascii="Arial" w:hAnsi="Arial" w:cs="Arial"/>
          <w:b/>
          <w:bCs/>
        </w:rPr>
        <w:t>EDAM Balancing Area</w:t>
      </w:r>
    </w:p>
    <w:p w14:paraId="1B6E2E00" w14:textId="48CCCE35" w:rsidR="007A25D3" w:rsidRDefault="00423D46" w:rsidP="004E0D9B">
      <w:pPr>
        <w:pStyle w:val="ParaText"/>
        <w:rPr>
          <w:rFonts w:ascii="Arial" w:hAnsi="Arial" w:cs="Arial"/>
        </w:rPr>
      </w:pPr>
      <w:r>
        <w:rPr>
          <w:rFonts w:ascii="Arial" w:hAnsi="Arial" w:cs="Arial"/>
        </w:rPr>
        <w:t>EDAM internal intertie</w:t>
      </w:r>
      <w:r w:rsidR="007A25D3">
        <w:rPr>
          <w:rFonts w:ascii="Arial" w:hAnsi="Arial" w:cs="Arial"/>
        </w:rPr>
        <w:t>s</w:t>
      </w:r>
      <w:r>
        <w:rPr>
          <w:rFonts w:ascii="Arial" w:hAnsi="Arial" w:cs="Arial"/>
        </w:rPr>
        <w:t xml:space="preserve"> – those interties between two EDAM balancing areas – become transfer locations supporting efficient energy transfers and are no longer biddable intertie locations as there is no physical generator at those locations.</w:t>
      </w:r>
      <w:r w:rsidR="007A25D3">
        <w:rPr>
          <w:rFonts w:ascii="Arial" w:hAnsi="Arial" w:cs="Arial"/>
        </w:rPr>
        <w:t xml:space="preserve">  Rather, bids associated with internal generation are submitted at the physical generator located in the EDAM footprint.  </w:t>
      </w:r>
    </w:p>
    <w:p w14:paraId="511D9ECB" w14:textId="0CF5A450" w:rsidR="006A1A64" w:rsidRDefault="00EB3A74" w:rsidP="004E0D9B">
      <w:pPr>
        <w:pStyle w:val="ParaText"/>
        <w:rPr>
          <w:rFonts w:ascii="Arial" w:hAnsi="Arial" w:cs="Arial"/>
        </w:rPr>
      </w:pPr>
      <w:r>
        <w:rPr>
          <w:rFonts w:ascii="Arial" w:hAnsi="Arial" w:cs="Arial"/>
        </w:rPr>
        <w:lastRenderedPageBreak/>
        <w:t>However, on a transitional basis and supporting EDAM launch, the EDAM internal interties between the CAISO balancing area with PacifiCorp East and PacifiCorp West balancing areas will continue to support limited intertie bids at the following locations:</w:t>
      </w:r>
    </w:p>
    <w:p w14:paraId="5C4D294B" w14:textId="7FF939EA" w:rsidR="00EB3A74" w:rsidRDefault="00EB3A74" w:rsidP="00EB3A74">
      <w:pPr>
        <w:pStyle w:val="ParaText"/>
        <w:numPr>
          <w:ilvl w:val="0"/>
          <w:numId w:val="147"/>
        </w:numPr>
        <w:rPr>
          <w:rFonts w:ascii="Arial" w:hAnsi="Arial" w:cs="Arial"/>
        </w:rPr>
      </w:pPr>
      <w:r>
        <w:rPr>
          <w:rFonts w:ascii="Arial" w:hAnsi="Arial" w:cs="Arial"/>
        </w:rPr>
        <w:t>Mona (MONA_3_N501)</w:t>
      </w:r>
    </w:p>
    <w:p w14:paraId="41A43123" w14:textId="3A73F575" w:rsidR="00EB3A74" w:rsidRDefault="00EB3A74" w:rsidP="00EB3A74">
      <w:pPr>
        <w:pStyle w:val="ParaText"/>
        <w:numPr>
          <w:ilvl w:val="0"/>
          <w:numId w:val="147"/>
        </w:numPr>
        <w:rPr>
          <w:rFonts w:ascii="Arial" w:hAnsi="Arial" w:cs="Arial"/>
        </w:rPr>
      </w:pPr>
      <w:r>
        <w:rPr>
          <w:rFonts w:ascii="Arial" w:hAnsi="Arial" w:cs="Arial"/>
        </w:rPr>
        <w:t>Crag View (CRAGVIEW_1_GN001)</w:t>
      </w:r>
    </w:p>
    <w:p w14:paraId="62FA17AA" w14:textId="3209807F" w:rsidR="00EB3A74" w:rsidRDefault="00EB3A74" w:rsidP="00EB3A74">
      <w:pPr>
        <w:pStyle w:val="ParaText"/>
        <w:rPr>
          <w:rFonts w:ascii="Arial" w:hAnsi="Arial" w:cs="Arial"/>
        </w:rPr>
      </w:pPr>
      <w:r>
        <w:rPr>
          <w:rFonts w:ascii="Arial" w:hAnsi="Arial" w:cs="Arial"/>
        </w:rPr>
        <w:t>At these specific intertie locations, supporting the launch of EDAM, import intertie schedules will continue to be supported on an interim basis for the following types of contractual arrangements:</w:t>
      </w:r>
    </w:p>
    <w:p w14:paraId="7E10E632" w14:textId="4A54F57C" w:rsidR="00EB3A74" w:rsidRDefault="00EB3A74" w:rsidP="00EB3A74">
      <w:pPr>
        <w:pStyle w:val="ParaText"/>
        <w:numPr>
          <w:ilvl w:val="0"/>
          <w:numId w:val="148"/>
        </w:numPr>
        <w:rPr>
          <w:rFonts w:ascii="Arial" w:hAnsi="Arial" w:cs="Arial"/>
        </w:rPr>
      </w:pPr>
      <w:r>
        <w:rPr>
          <w:rFonts w:ascii="Arial" w:hAnsi="Arial" w:cs="Arial"/>
        </w:rPr>
        <w:t>Resource Adequacy imports into the CAISO balancing area; and</w:t>
      </w:r>
    </w:p>
    <w:p w14:paraId="458D6759" w14:textId="5878391B" w:rsidR="00EB3A74" w:rsidRDefault="00EB3A74" w:rsidP="00EB3A74">
      <w:pPr>
        <w:pStyle w:val="ParaText"/>
        <w:numPr>
          <w:ilvl w:val="0"/>
          <w:numId w:val="148"/>
        </w:numPr>
        <w:rPr>
          <w:rFonts w:ascii="Arial" w:hAnsi="Arial" w:cs="Arial"/>
        </w:rPr>
      </w:pPr>
      <w:r>
        <w:rPr>
          <w:rFonts w:ascii="Arial" w:hAnsi="Arial" w:cs="Arial"/>
        </w:rPr>
        <w:t>Imports supporting Renewable Portfolio Standards (RPS) contracts.</w:t>
      </w:r>
    </w:p>
    <w:p w14:paraId="2B33F778" w14:textId="03324E6E" w:rsidR="009B5F4C" w:rsidRDefault="007021DA" w:rsidP="00EB3A74">
      <w:pPr>
        <w:pStyle w:val="ParaText"/>
        <w:rPr>
          <w:rFonts w:ascii="Arial" w:hAnsi="Arial" w:cs="Arial"/>
        </w:rPr>
      </w:pPr>
      <w:proofErr w:type="gramStart"/>
      <w:r>
        <w:rPr>
          <w:rFonts w:ascii="Arial" w:hAnsi="Arial" w:cs="Arial"/>
        </w:rPr>
        <w:t>In order to</w:t>
      </w:r>
      <w:proofErr w:type="gramEnd"/>
      <w:r>
        <w:rPr>
          <w:rFonts w:ascii="Arial" w:hAnsi="Arial" w:cs="Arial"/>
        </w:rPr>
        <w:t xml:space="preserve"> submit</w:t>
      </w:r>
      <w:r w:rsidR="007F5BDC">
        <w:rPr>
          <w:rFonts w:ascii="Arial" w:hAnsi="Arial" w:cs="Arial"/>
        </w:rPr>
        <w:t xml:space="preserve"> the eligible</w:t>
      </w:r>
      <w:r>
        <w:rPr>
          <w:rFonts w:ascii="Arial" w:hAnsi="Arial" w:cs="Arial"/>
        </w:rPr>
        <w:t xml:space="preserve"> </w:t>
      </w:r>
      <w:r w:rsidR="007F5BDC">
        <w:rPr>
          <w:rFonts w:ascii="Arial" w:hAnsi="Arial" w:cs="Arial"/>
        </w:rPr>
        <w:t>intertie bids at these Mona and Crag View locations, the Scheduling Coordinator must:</w:t>
      </w:r>
    </w:p>
    <w:p w14:paraId="4D336EB1" w14:textId="6BBE4D88" w:rsidR="007F5BDC" w:rsidRDefault="007F5BDC" w:rsidP="007F5BDC">
      <w:pPr>
        <w:pStyle w:val="ParaText"/>
        <w:numPr>
          <w:ilvl w:val="0"/>
          <w:numId w:val="150"/>
        </w:numPr>
        <w:rPr>
          <w:rFonts w:ascii="Arial" w:hAnsi="Arial" w:cs="Arial"/>
        </w:rPr>
      </w:pPr>
      <w:r>
        <w:rPr>
          <w:rFonts w:ascii="Arial" w:hAnsi="Arial" w:cs="Arial"/>
        </w:rPr>
        <w:t>Register an import system resource through the Masterfile process and obtain the associated resource ID under which to submit bids at these specific locations.  Importantly, transaction IDs will not be supported at these specific intertie locations.</w:t>
      </w:r>
    </w:p>
    <w:p w14:paraId="0280A0FB" w14:textId="6D109F86" w:rsidR="007F5BDC" w:rsidRDefault="007F5BDC" w:rsidP="002E7413">
      <w:pPr>
        <w:pStyle w:val="ParaText"/>
        <w:numPr>
          <w:ilvl w:val="0"/>
          <w:numId w:val="150"/>
        </w:numPr>
        <w:rPr>
          <w:rFonts w:ascii="Arial" w:hAnsi="Arial" w:cs="Arial"/>
        </w:rPr>
      </w:pPr>
      <w:r>
        <w:rPr>
          <w:rFonts w:ascii="Arial" w:hAnsi="Arial" w:cs="Arial"/>
        </w:rPr>
        <w:t xml:space="preserve">By registering the system resource at these intertie locations (that are transfer locations), the Scheduling Coordinator attests that they meet the requirements to submit bids and receive market schedules at these locations consistent with the terms of the tariff. </w:t>
      </w:r>
    </w:p>
    <w:p w14:paraId="61EF1796" w14:textId="2A0C0BF8" w:rsidR="00EB3A74" w:rsidRDefault="00CA418E" w:rsidP="00EB3A74">
      <w:pPr>
        <w:pStyle w:val="ParaText"/>
        <w:rPr>
          <w:rFonts w:ascii="Arial" w:hAnsi="Arial" w:cs="Arial"/>
        </w:rPr>
      </w:pPr>
      <w:r>
        <w:rPr>
          <w:rFonts w:ascii="Arial" w:hAnsi="Arial" w:cs="Arial"/>
        </w:rPr>
        <w:t xml:space="preserve">Export bids from the CAISO balancing area at these specific locations will not be supported at these transfer locations.  Similarly, other types of import bids not associated with the contractual obligations identified above will not be supported at the identified intertie locations that become transfer locations.  </w:t>
      </w:r>
    </w:p>
    <w:p w14:paraId="2CBCC43A" w14:textId="154AB99D" w:rsidR="00F10F34" w:rsidRDefault="00F46E5B" w:rsidP="00EB3A74">
      <w:pPr>
        <w:pStyle w:val="ParaText"/>
        <w:rPr>
          <w:rFonts w:ascii="Arial" w:hAnsi="Arial" w:cs="Arial"/>
        </w:rPr>
      </w:pPr>
      <w:r>
        <w:rPr>
          <w:rFonts w:ascii="Arial" w:hAnsi="Arial" w:cs="Arial"/>
        </w:rPr>
        <w:t xml:space="preserve">In the Day-Ahead Market, to the extent that the source of the generation supporting Resource Adequacy contracts in the CAISO or RPS contractual requirements delivered either at Mona or Crag View </w:t>
      </w:r>
      <w:proofErr w:type="gramStart"/>
      <w:r>
        <w:rPr>
          <w:rFonts w:ascii="Arial" w:hAnsi="Arial" w:cs="Arial"/>
        </w:rPr>
        <w:t>is located in</w:t>
      </w:r>
      <w:proofErr w:type="gramEnd"/>
      <w:r>
        <w:rPr>
          <w:rFonts w:ascii="Arial" w:hAnsi="Arial" w:cs="Arial"/>
        </w:rPr>
        <w:t xml:space="preserve"> an EDAM balancing area (i.e. PACE, PACW), the bids are expected to be submitted at the physical generator location and settled at that location.  However</w:t>
      </w:r>
      <w:r w:rsidR="00A2684B">
        <w:rPr>
          <w:rFonts w:ascii="Arial" w:hAnsi="Arial" w:cs="Arial"/>
        </w:rPr>
        <w:t xml:space="preserve">, to the extent that in the Day-Ahead Market the source of the generation is not known, the Scheduling Coordinator associated with the registered system resource (registered at those interties) can submit the import intertie bid – either a self-schedule or economic bid - directly at the Mona and Crag View locations.  </w:t>
      </w:r>
      <w:r w:rsidR="006B3559">
        <w:rPr>
          <w:rFonts w:ascii="Arial" w:hAnsi="Arial" w:cs="Arial"/>
        </w:rPr>
        <w:t xml:space="preserve">Any schedules associated with the intertie bid will be settled based on the LMP at those locations.  </w:t>
      </w:r>
    </w:p>
    <w:p w14:paraId="1672BBDD" w14:textId="77777777" w:rsidR="00956F85" w:rsidRDefault="009B5F4C" w:rsidP="00EB3A74">
      <w:pPr>
        <w:pStyle w:val="ParaText"/>
        <w:rPr>
          <w:rFonts w:ascii="Arial" w:hAnsi="Arial" w:cs="Arial"/>
        </w:rPr>
      </w:pPr>
      <w:r>
        <w:rPr>
          <w:rFonts w:ascii="Arial" w:hAnsi="Arial" w:cs="Arial"/>
        </w:rPr>
        <w:lastRenderedPageBreak/>
        <w:t>If an intertie import schedule is awarded in the Day-Ahead Market at the Mona or Crag View intertie locations (transfer points), the transaction will be tagged as is common practice.  In the Real-Time Market, the Scheduling Coordinator would be expected to have market schedules across the EDAM footprint consistent with the e-tag.</w:t>
      </w:r>
      <w:r w:rsidR="00956F85">
        <w:rPr>
          <w:rFonts w:ascii="Arial" w:hAnsi="Arial" w:cs="Arial"/>
        </w:rPr>
        <w:t xml:space="preserve">  The Scheduling Coordinator can continue to bid at the Mona and Crag View interties in the Real-Time Market associated with the day-ahead schedule.</w:t>
      </w:r>
      <w:r>
        <w:rPr>
          <w:rFonts w:ascii="Arial" w:hAnsi="Arial" w:cs="Arial"/>
        </w:rPr>
        <w:t xml:space="preserve">  </w:t>
      </w:r>
    </w:p>
    <w:p w14:paraId="77F1A640" w14:textId="3FD0FEDF" w:rsidR="006B3559" w:rsidRDefault="00956F85" w:rsidP="00EB3A74">
      <w:pPr>
        <w:pStyle w:val="ParaText"/>
        <w:rPr>
          <w:rFonts w:ascii="Arial" w:hAnsi="Arial" w:cs="Arial"/>
        </w:rPr>
      </w:pPr>
      <w:r>
        <w:rPr>
          <w:rFonts w:ascii="Arial" w:hAnsi="Arial" w:cs="Arial"/>
        </w:rPr>
        <w:t>To support the day-ahead schedule at Mona and Crag View, the following is expected in t</w:t>
      </w:r>
      <w:r w:rsidR="009B5F4C">
        <w:rPr>
          <w:rFonts w:ascii="Arial" w:hAnsi="Arial" w:cs="Arial"/>
        </w:rPr>
        <w:t>he Real-Time Market</w:t>
      </w:r>
      <w:r>
        <w:rPr>
          <w:rFonts w:ascii="Arial" w:hAnsi="Arial" w:cs="Arial"/>
        </w:rPr>
        <w:t>:</w:t>
      </w:r>
    </w:p>
    <w:p w14:paraId="5936C400" w14:textId="77777777" w:rsidR="00956F85" w:rsidRDefault="009B5F4C" w:rsidP="009B5F4C">
      <w:pPr>
        <w:pStyle w:val="ParaText"/>
        <w:numPr>
          <w:ilvl w:val="0"/>
          <w:numId w:val="149"/>
        </w:numPr>
        <w:rPr>
          <w:rFonts w:ascii="Arial" w:hAnsi="Arial" w:cs="Arial"/>
        </w:rPr>
      </w:pPr>
      <w:r>
        <w:rPr>
          <w:rFonts w:ascii="Arial" w:hAnsi="Arial" w:cs="Arial"/>
        </w:rPr>
        <w:t>To the extent the source of the generation</w:t>
      </w:r>
      <w:r w:rsidR="00956F85">
        <w:rPr>
          <w:rFonts w:ascii="Arial" w:hAnsi="Arial" w:cs="Arial"/>
        </w:rPr>
        <w:t xml:space="preserve"> in the real-time</w:t>
      </w:r>
      <w:r>
        <w:rPr>
          <w:rFonts w:ascii="Arial" w:hAnsi="Arial" w:cs="Arial"/>
        </w:rPr>
        <w:t xml:space="preserve"> is an EDAM balancing area (i.e., PacifiCorp), </w:t>
      </w:r>
      <w:r w:rsidR="00956F85">
        <w:rPr>
          <w:rFonts w:ascii="Arial" w:hAnsi="Arial" w:cs="Arial"/>
        </w:rPr>
        <w:t>the Scheduling Coordinator is expected to register an export system resource from the PacifiCorp balancing area and submit a self-schedule at the corresponding intertie that is an import into the CAISO balancing area associated with the day-ahead import schedule.</w:t>
      </w:r>
    </w:p>
    <w:p w14:paraId="72E746E2" w14:textId="5CB72826" w:rsidR="009B5F4C" w:rsidRDefault="00956F85" w:rsidP="009B5F4C">
      <w:pPr>
        <w:pStyle w:val="ParaText"/>
        <w:numPr>
          <w:ilvl w:val="0"/>
          <w:numId w:val="149"/>
        </w:numPr>
        <w:rPr>
          <w:rFonts w:ascii="Arial" w:hAnsi="Arial" w:cs="Arial"/>
        </w:rPr>
      </w:pPr>
      <w:r>
        <w:rPr>
          <w:rFonts w:ascii="Arial" w:hAnsi="Arial" w:cs="Arial"/>
        </w:rPr>
        <w:t>To the extent the source of the generation in the real-time is outside of an EDAM balancing area and wheeling through the PacifiCorp balancing area to Mona or Crag View, the Scheduling Coordinator is expected to register an import and export system resource</w:t>
      </w:r>
      <w:r w:rsidR="00135CD3">
        <w:rPr>
          <w:rFonts w:ascii="Arial" w:hAnsi="Arial" w:cs="Arial"/>
        </w:rPr>
        <w:t>, and submission of self-schedules</w:t>
      </w:r>
      <w:r w:rsidR="00D978EA">
        <w:rPr>
          <w:rFonts w:ascii="Arial" w:hAnsi="Arial" w:cs="Arial"/>
        </w:rPr>
        <w:t>,</w:t>
      </w:r>
      <w:r>
        <w:rPr>
          <w:rFonts w:ascii="Arial" w:hAnsi="Arial" w:cs="Arial"/>
        </w:rPr>
        <w:t xml:space="preserve"> </w:t>
      </w:r>
      <w:r w:rsidR="00135CD3">
        <w:rPr>
          <w:rFonts w:ascii="Arial" w:hAnsi="Arial" w:cs="Arial"/>
        </w:rPr>
        <w:t xml:space="preserve">at the appropriate PacifiCorp intertie locations consistent with the planned delivery for the import supporting the day-ahead schedule into the CAISO balancing area.  </w:t>
      </w:r>
    </w:p>
    <w:p w14:paraId="3C98D1B6" w14:textId="0EDE0764" w:rsidR="005F2F3C" w:rsidRDefault="005F2F3C" w:rsidP="005F2F3C">
      <w:pPr>
        <w:pStyle w:val="ParaText"/>
        <w:rPr>
          <w:rFonts w:ascii="Arial" w:hAnsi="Arial" w:cs="Arial"/>
        </w:rPr>
      </w:pPr>
      <w:r>
        <w:rPr>
          <w:rFonts w:ascii="Arial" w:hAnsi="Arial" w:cs="Arial"/>
        </w:rPr>
        <w:t xml:space="preserve">For further information regarding </w:t>
      </w:r>
      <w:proofErr w:type="gramStart"/>
      <w:r>
        <w:rPr>
          <w:rFonts w:ascii="Arial" w:hAnsi="Arial" w:cs="Arial"/>
        </w:rPr>
        <w:t>showing of</w:t>
      </w:r>
      <w:proofErr w:type="gramEnd"/>
      <w:r>
        <w:rPr>
          <w:rFonts w:ascii="Arial" w:hAnsi="Arial" w:cs="Arial"/>
        </w:rPr>
        <w:t xml:space="preserve"> Resource Adequacy import capacity at the Mona and Crag View transfer locations during the transitional period, associated expectations and processes for reassignment of Resource Adequacy </w:t>
      </w:r>
      <w:r w:rsidRPr="00B37E5E">
        <w:rPr>
          <w:rFonts w:ascii="Arial" w:hAnsi="Arial" w:cs="Arial"/>
        </w:rPr>
        <w:t xml:space="preserve">capacity to the extent that the source of the generation is in an EDAM area, please refer to the </w:t>
      </w:r>
      <w:r w:rsidR="00B37E5E" w:rsidRPr="00B37E5E">
        <w:rPr>
          <w:rFonts w:ascii="Arial" w:hAnsi="Arial" w:cs="Arial"/>
        </w:rPr>
        <w:t xml:space="preserve">Reliability Requirements </w:t>
      </w:r>
      <w:r w:rsidRPr="00B37E5E">
        <w:rPr>
          <w:rFonts w:ascii="Arial" w:hAnsi="Arial" w:cs="Arial"/>
        </w:rPr>
        <w:t>Business Practice Manual.</w:t>
      </w:r>
      <w:r>
        <w:rPr>
          <w:rFonts w:ascii="Arial" w:hAnsi="Arial" w:cs="Arial"/>
        </w:rPr>
        <w:t xml:space="preserve">  </w:t>
      </w:r>
    </w:p>
    <w:p w14:paraId="3BD2E367" w14:textId="36ABFBE0" w:rsidR="00710E5B" w:rsidRPr="00746F54" w:rsidRDefault="00710E5B" w:rsidP="005F2F3C">
      <w:pPr>
        <w:pStyle w:val="ParaText"/>
        <w:rPr>
          <w:rFonts w:ascii="Arial" w:hAnsi="Arial" w:cs="Arial"/>
        </w:rPr>
      </w:pPr>
      <w:r>
        <w:rPr>
          <w:rFonts w:ascii="Arial" w:hAnsi="Arial" w:cs="Arial"/>
        </w:rPr>
        <w:t>For additional information on intertie scheduling, and overall scheduling in the market, please refer to the Market Operations Business Practice Manual.</w:t>
      </w:r>
      <w:r w:rsidR="0088620A">
        <w:rPr>
          <w:rFonts w:ascii="Arial" w:hAnsi="Arial" w:cs="Arial"/>
        </w:rPr>
        <w:t xml:space="preserve">  </w:t>
      </w:r>
    </w:p>
    <w:p w14:paraId="0A6EF115" w14:textId="19FBA7CA" w:rsidR="004D29D1" w:rsidRPr="00746F54" w:rsidRDefault="004D29D1" w:rsidP="004D29D1">
      <w:pPr>
        <w:pStyle w:val="Heading2"/>
        <w:rPr>
          <w:rFonts w:ascii="Arial" w:hAnsi="Arial" w:cs="Arial"/>
        </w:rPr>
      </w:pPr>
      <w:bookmarkStart w:id="155" w:name="_Toc211337928"/>
      <w:bookmarkStart w:id="156" w:name="_Toc228963717"/>
      <w:r w:rsidRPr="00746F54">
        <w:rPr>
          <w:rFonts w:ascii="Arial" w:hAnsi="Arial" w:cs="Arial"/>
        </w:rPr>
        <w:t>Power Balance Constraint Relaxation</w:t>
      </w:r>
      <w:bookmarkEnd w:id="155"/>
      <w:bookmarkEnd w:id="156"/>
    </w:p>
    <w:p w14:paraId="56C4AFC8" w14:textId="7030A391" w:rsidR="004D29D1" w:rsidRPr="00746F54" w:rsidRDefault="004D29D1" w:rsidP="004D29D1">
      <w:pPr>
        <w:pStyle w:val="ParaText"/>
        <w:rPr>
          <w:rFonts w:ascii="Arial" w:hAnsi="Arial" w:cs="Arial"/>
          <w:u w:val="single"/>
        </w:rPr>
      </w:pPr>
      <w:r w:rsidRPr="00746F54">
        <w:rPr>
          <w:rFonts w:ascii="Arial" w:hAnsi="Arial" w:cs="Arial"/>
          <w:u w:val="single"/>
        </w:rPr>
        <w:t>Reference tariff section 33.27.4</w:t>
      </w:r>
    </w:p>
    <w:p w14:paraId="35C0B0F8" w14:textId="009106F6" w:rsidR="004D29D1" w:rsidRPr="00746F54" w:rsidRDefault="004D29D1" w:rsidP="004D29D1">
      <w:pPr>
        <w:pStyle w:val="ParaText"/>
        <w:rPr>
          <w:rFonts w:ascii="Arial" w:hAnsi="Arial" w:cs="Arial"/>
        </w:rPr>
      </w:pPr>
      <w:r w:rsidRPr="00746F54">
        <w:rPr>
          <w:rFonts w:ascii="Arial" w:hAnsi="Arial" w:cs="Arial"/>
        </w:rPr>
        <w:t xml:space="preserve">A net export reliability capacity transfer above the reference transfer shall not cause under-gen conditions. In other words, no net export transfer above the net transfer reference when in under-generation conditions. </w:t>
      </w:r>
    </w:p>
    <w:p w14:paraId="3C51DDFB" w14:textId="02409A0F" w:rsidR="004D29D1" w:rsidRPr="00746F54" w:rsidRDefault="004D29D1" w:rsidP="004D29D1">
      <w:pPr>
        <w:pStyle w:val="ParaText"/>
        <w:rPr>
          <w:rFonts w:ascii="Arial" w:hAnsi="Arial" w:cs="Arial"/>
        </w:rPr>
      </w:pPr>
      <w:r w:rsidRPr="00746F54">
        <w:rPr>
          <w:rFonts w:ascii="Arial" w:hAnsi="Arial" w:cs="Arial"/>
        </w:rPr>
        <w:lastRenderedPageBreak/>
        <w:t>A net import reliability capacity transfer below the reference transfer shall not cause over-gen</w:t>
      </w:r>
      <w:r w:rsidR="00C95132">
        <w:rPr>
          <w:rFonts w:ascii="Arial" w:hAnsi="Arial" w:cs="Arial"/>
        </w:rPr>
        <w:t>eration</w:t>
      </w:r>
      <w:r w:rsidRPr="00746F54">
        <w:rPr>
          <w:rFonts w:ascii="Arial" w:hAnsi="Arial" w:cs="Arial"/>
        </w:rPr>
        <w:t xml:space="preserve"> conditions. In other words, no net import transfer below the net transfer reference when in over-gen conditions. </w:t>
      </w:r>
    </w:p>
    <w:p w14:paraId="2BBDAF64" w14:textId="77777777" w:rsidR="004D29D1" w:rsidRPr="00746F54" w:rsidRDefault="00737CD1" w:rsidP="004D29D1">
      <w:pPr>
        <w:spacing w:before="77" w:after="0" w:line="240" w:lineRule="auto"/>
        <w:ind w:left="1354"/>
        <w:textAlignment w:val="baseline"/>
        <w:rPr>
          <w:rFonts w:ascii="Arial" w:eastAsia="Times New Roman" w:hAnsi="Arial" w:cs="Arial"/>
          <w:sz w:val="24"/>
          <w:szCs w:val="24"/>
        </w:rPr>
      </w:pPr>
      <m:oMathPara>
        <m:oMathParaPr>
          <m:jc m:val="centerGroup"/>
        </m:oMathParaPr>
        <m:oMath>
          <m:d>
            <m:dPr>
              <m:begChr m:val=""/>
              <m:endChr m:val="}"/>
              <m:ctrlPr>
                <w:rPr>
                  <w:rFonts w:ascii="Cambria Math" w:eastAsiaTheme="minorEastAsia" w:hAnsi="Cambria Math" w:cs="Arial"/>
                  <w:i/>
                  <w:iCs/>
                  <w:color w:val="000000" w:themeColor="text1"/>
                  <w:kern w:val="24"/>
                  <w:sz w:val="32"/>
                  <w:szCs w:val="32"/>
                </w:rPr>
              </m:ctrlPr>
            </m:dPr>
            <m:e>
              <m:m>
                <m:mPr>
                  <m:mcs>
                    <m:mc>
                      <m:mcPr>
                        <m:count m:val="1"/>
                        <m:mcJc m:val="center"/>
                      </m:mcPr>
                    </m:mc>
                  </m:mcs>
                  <m:ctrlPr>
                    <w:rPr>
                      <w:rFonts w:ascii="Cambria Math" w:eastAsiaTheme="minorEastAsia" w:hAnsi="Cambria Math" w:cs="Arial"/>
                      <w:i/>
                      <w:iCs/>
                      <w:color w:val="000000" w:themeColor="text1"/>
                      <w:kern w:val="24"/>
                      <w:sz w:val="32"/>
                      <w:szCs w:val="32"/>
                    </w:rPr>
                  </m:ctrlPr>
                </m:mPr>
                <m:mr>
                  <m:e>
                    <m:sSub>
                      <m:sSubPr>
                        <m:ctrlPr>
                          <w:rPr>
                            <w:rFonts w:ascii="Cambria Math" w:eastAsiaTheme="minorEastAsia" w:hAnsi="Cambria Math" w:cs="Arial"/>
                            <w:i/>
                            <w:iCs/>
                            <w:color w:val="000000" w:themeColor="text1"/>
                            <w:kern w:val="24"/>
                            <w:sz w:val="32"/>
                            <w:szCs w:val="32"/>
                          </w:rPr>
                        </m:ctrlPr>
                      </m:sSubPr>
                      <m:e>
                        <m:r>
                          <w:rPr>
                            <w:rFonts w:ascii="Cambria Math" w:eastAsiaTheme="minorEastAsia" w:hAnsi="Cambria Math" w:cs="Arial"/>
                            <w:color w:val="000000" w:themeColor="text1"/>
                            <w:kern w:val="24"/>
                            <w:sz w:val="32"/>
                            <w:szCs w:val="32"/>
                          </w:rPr>
                          <m:t>RCUS</m:t>
                        </m:r>
                      </m:e>
                      <m:sub>
                        <m:r>
                          <w:rPr>
                            <w:rFonts w:ascii="Cambria Math" w:eastAsiaTheme="minorEastAsia" w:hAnsi="Cambria Math" w:cs="Arial"/>
                            <w:color w:val="000000" w:themeColor="text1"/>
                            <w:kern w:val="24"/>
                            <w:sz w:val="32"/>
                            <w:szCs w:val="32"/>
                          </w:rPr>
                          <m:t>j,t</m:t>
                        </m:r>
                      </m:sub>
                    </m:sSub>
                    <m:r>
                      <w:rPr>
                        <w:rFonts w:ascii="Cambria Math" w:eastAsiaTheme="minorEastAsia" w:hAnsi="Cambria Math" w:cs="Arial"/>
                        <w:color w:val="000000" w:themeColor="text1"/>
                        <w:kern w:val="24"/>
                        <w:sz w:val="32"/>
                        <w:szCs w:val="32"/>
                      </w:rPr>
                      <m:t> </m:t>
                    </m:r>
                    <m:d>
                      <m:dPr>
                        <m:ctrlPr>
                          <w:rPr>
                            <w:rFonts w:ascii="Cambria Math" w:eastAsiaTheme="minorEastAsia" w:hAnsi="Cambria Math" w:cs="Arial"/>
                            <w:i/>
                            <w:iCs/>
                            <w:color w:val="000000" w:themeColor="text1"/>
                            <w:kern w:val="24"/>
                            <w:sz w:val="32"/>
                            <w:szCs w:val="32"/>
                          </w:rPr>
                        </m:ctrlPr>
                      </m:dPr>
                      <m:e>
                        <m:sSubSup>
                          <m:sSubSupPr>
                            <m:ctrlPr>
                              <w:rPr>
                                <w:rFonts w:ascii="Cambria Math" w:eastAsiaTheme="minorEastAsia" w:hAnsi="Cambria Math" w:cs="Arial"/>
                                <w:i/>
                                <w:iCs/>
                                <w:color w:val="000000" w:themeColor="text1"/>
                                <w:kern w:val="24"/>
                                <w:sz w:val="32"/>
                                <w:szCs w:val="32"/>
                              </w:rPr>
                            </m:ctrlPr>
                          </m:sSubSupPr>
                          <m:e>
                            <m:r>
                              <w:rPr>
                                <w:rFonts w:ascii="Cambria Math" w:eastAsiaTheme="minorEastAsia" w:hAnsi="Cambria Math" w:cs="Arial"/>
                                <w:color w:val="000000" w:themeColor="text1"/>
                                <w:kern w:val="24"/>
                                <w:sz w:val="32"/>
                                <w:szCs w:val="32"/>
                              </w:rPr>
                              <m:t>T</m:t>
                            </m:r>
                          </m:e>
                          <m:sub>
                            <m:r>
                              <w:rPr>
                                <w:rFonts w:ascii="Cambria Math" w:eastAsiaTheme="minorEastAsia" w:hAnsi="Cambria Math" w:cs="Arial"/>
                                <w:color w:val="000000" w:themeColor="text1"/>
                                <w:kern w:val="24"/>
                                <w:sz w:val="32"/>
                                <w:szCs w:val="32"/>
                              </w:rPr>
                              <m:t>j,t</m:t>
                            </m:r>
                          </m:sub>
                          <m:sup>
                            <m:r>
                              <w:rPr>
                                <w:rFonts w:ascii="Cambria Math" w:eastAsiaTheme="minorEastAsia" w:hAnsi="Cambria Math" w:cs="Arial"/>
                                <w:color w:val="000000" w:themeColor="text1"/>
                                <w:kern w:val="24"/>
                                <w:sz w:val="32"/>
                                <w:szCs w:val="32"/>
                              </w:rPr>
                              <m:t>(RCU)</m:t>
                            </m:r>
                          </m:sup>
                        </m:sSubSup>
                        <m:r>
                          <w:rPr>
                            <w:rFonts w:ascii="Cambria Math" w:eastAsiaTheme="minorEastAsia" w:hAnsi="Cambria Math" w:cs="Arial"/>
                            <w:color w:val="000000" w:themeColor="text1"/>
                            <w:kern w:val="24"/>
                            <w:sz w:val="32"/>
                            <w:szCs w:val="32"/>
                          </w:rPr>
                          <m:t>-</m:t>
                        </m:r>
                        <m:sSub>
                          <m:sSubPr>
                            <m:ctrlPr>
                              <w:rPr>
                                <w:rFonts w:ascii="Cambria Math" w:eastAsiaTheme="minorEastAsia" w:hAnsi="Cambria Math" w:cs="Arial"/>
                                <w:i/>
                                <w:iCs/>
                                <w:color w:val="000000" w:themeColor="text1"/>
                                <w:kern w:val="24"/>
                                <w:sz w:val="32"/>
                                <w:szCs w:val="32"/>
                              </w:rPr>
                            </m:ctrlPr>
                          </m:sSubPr>
                          <m:e>
                            <m:acc>
                              <m:accPr>
                                <m:chr m:val="̅"/>
                                <m:ctrlPr>
                                  <w:rPr>
                                    <w:rFonts w:ascii="Cambria Math" w:eastAsiaTheme="minorEastAsia" w:hAnsi="Cambria Math" w:cs="Arial"/>
                                    <w:i/>
                                    <w:iCs/>
                                    <w:color w:val="000000" w:themeColor="text1"/>
                                    <w:kern w:val="24"/>
                                    <w:sz w:val="32"/>
                                    <w:szCs w:val="32"/>
                                  </w:rPr>
                                </m:ctrlPr>
                              </m:accPr>
                              <m:e>
                                <m:r>
                                  <w:rPr>
                                    <w:rFonts w:ascii="Cambria Math" w:eastAsiaTheme="minorEastAsia" w:hAnsi="Cambria Math" w:cs="Arial"/>
                                    <w:color w:val="000000" w:themeColor="text1"/>
                                    <w:kern w:val="24"/>
                                    <w:sz w:val="32"/>
                                    <w:szCs w:val="32"/>
                                  </w:rPr>
                                  <m:t>T</m:t>
                                </m:r>
                              </m:e>
                            </m:acc>
                          </m:e>
                          <m:sub>
                            <m:r>
                              <w:rPr>
                                <w:rFonts w:ascii="Cambria Math" w:eastAsiaTheme="minorEastAsia" w:hAnsi="Cambria Math" w:cs="Arial"/>
                                <w:color w:val="000000" w:themeColor="text1"/>
                                <w:kern w:val="24"/>
                                <w:sz w:val="32"/>
                                <w:szCs w:val="32"/>
                              </w:rPr>
                              <m:t>j,t</m:t>
                            </m:r>
                          </m:sub>
                        </m:sSub>
                      </m:e>
                    </m:d>
                    <m:r>
                      <w:rPr>
                        <w:rFonts w:ascii="Cambria Math" w:eastAsiaTheme="minorEastAsia" w:hAnsi="Cambria Math" w:cs="Arial"/>
                        <w:color w:val="000000" w:themeColor="text1"/>
                        <w:kern w:val="24"/>
                        <w:sz w:val="32"/>
                        <w:szCs w:val="32"/>
                      </w:rPr>
                      <m:t>≤0</m:t>
                    </m:r>
                  </m:e>
                </m:mr>
                <m:mr>
                  <m:e>
                    <m:sSub>
                      <m:sSubPr>
                        <m:ctrlPr>
                          <w:rPr>
                            <w:rFonts w:ascii="Cambria Math" w:eastAsiaTheme="minorEastAsia" w:hAnsi="Cambria Math" w:cs="Arial"/>
                            <w:i/>
                            <w:iCs/>
                            <w:color w:val="000000" w:themeColor="text1"/>
                            <w:kern w:val="24"/>
                            <w:sz w:val="32"/>
                            <w:szCs w:val="32"/>
                          </w:rPr>
                        </m:ctrlPr>
                      </m:sSubPr>
                      <m:e>
                        <m:r>
                          <w:rPr>
                            <w:rFonts w:ascii="Cambria Math" w:eastAsiaTheme="minorEastAsia" w:hAnsi="Cambria Math" w:cs="Arial"/>
                            <w:color w:val="000000" w:themeColor="text1"/>
                            <w:kern w:val="24"/>
                            <w:sz w:val="32"/>
                            <w:szCs w:val="32"/>
                          </w:rPr>
                          <m:t>RCDS</m:t>
                        </m:r>
                      </m:e>
                      <m:sub>
                        <m:r>
                          <w:rPr>
                            <w:rFonts w:ascii="Cambria Math" w:eastAsiaTheme="minorEastAsia" w:hAnsi="Cambria Math" w:cs="Arial"/>
                            <w:color w:val="000000" w:themeColor="text1"/>
                            <w:kern w:val="24"/>
                            <w:sz w:val="32"/>
                            <w:szCs w:val="32"/>
                          </w:rPr>
                          <m:t>j,t</m:t>
                        </m:r>
                      </m:sub>
                    </m:sSub>
                    <m:r>
                      <w:rPr>
                        <w:rFonts w:ascii="Cambria Math" w:eastAsiaTheme="minorEastAsia" w:hAnsi="Cambria Math" w:cs="Arial"/>
                        <w:color w:val="000000" w:themeColor="text1"/>
                        <w:kern w:val="24"/>
                        <w:sz w:val="32"/>
                        <w:szCs w:val="32"/>
                      </w:rPr>
                      <m:t> </m:t>
                    </m:r>
                    <m:d>
                      <m:dPr>
                        <m:ctrlPr>
                          <w:rPr>
                            <w:rFonts w:ascii="Cambria Math" w:eastAsiaTheme="minorEastAsia" w:hAnsi="Cambria Math" w:cs="Arial"/>
                            <w:i/>
                            <w:iCs/>
                            <w:color w:val="000000" w:themeColor="text1"/>
                            <w:kern w:val="24"/>
                            <w:sz w:val="32"/>
                            <w:szCs w:val="32"/>
                          </w:rPr>
                        </m:ctrlPr>
                      </m:dPr>
                      <m:e>
                        <m:sSubSup>
                          <m:sSubSupPr>
                            <m:ctrlPr>
                              <w:rPr>
                                <w:rFonts w:ascii="Cambria Math" w:eastAsiaTheme="minorEastAsia" w:hAnsi="Cambria Math" w:cs="Arial"/>
                                <w:i/>
                                <w:iCs/>
                                <w:color w:val="000000" w:themeColor="text1"/>
                                <w:kern w:val="24"/>
                                <w:sz w:val="32"/>
                                <w:szCs w:val="32"/>
                              </w:rPr>
                            </m:ctrlPr>
                          </m:sSubSupPr>
                          <m:e>
                            <m:r>
                              <w:rPr>
                                <w:rFonts w:ascii="Cambria Math" w:eastAsiaTheme="minorEastAsia" w:hAnsi="Cambria Math" w:cs="Arial"/>
                                <w:color w:val="000000" w:themeColor="text1"/>
                                <w:kern w:val="24"/>
                                <w:sz w:val="32"/>
                                <w:szCs w:val="32"/>
                              </w:rPr>
                              <m:t>T</m:t>
                            </m:r>
                          </m:e>
                          <m:sub>
                            <m:r>
                              <w:rPr>
                                <w:rFonts w:ascii="Cambria Math" w:eastAsiaTheme="minorEastAsia" w:hAnsi="Cambria Math" w:cs="Arial"/>
                                <w:color w:val="000000" w:themeColor="text1"/>
                                <w:kern w:val="24"/>
                                <w:sz w:val="32"/>
                                <w:szCs w:val="32"/>
                              </w:rPr>
                              <m:t>j,t</m:t>
                            </m:r>
                          </m:sub>
                          <m:sup>
                            <m:r>
                              <w:rPr>
                                <w:rFonts w:ascii="Cambria Math" w:eastAsiaTheme="minorEastAsia" w:hAnsi="Cambria Math" w:cs="Arial"/>
                                <w:color w:val="000000" w:themeColor="text1"/>
                                <w:kern w:val="24"/>
                                <w:sz w:val="32"/>
                                <w:szCs w:val="32"/>
                              </w:rPr>
                              <m:t>(RCU)</m:t>
                            </m:r>
                          </m:sup>
                        </m:sSubSup>
                        <m:r>
                          <w:rPr>
                            <w:rFonts w:ascii="Cambria Math" w:eastAsiaTheme="minorEastAsia" w:hAnsi="Cambria Math" w:cs="Arial"/>
                            <w:color w:val="000000" w:themeColor="text1"/>
                            <w:kern w:val="24"/>
                            <w:sz w:val="32"/>
                            <w:szCs w:val="32"/>
                          </w:rPr>
                          <m:t>-</m:t>
                        </m:r>
                        <m:sSub>
                          <m:sSubPr>
                            <m:ctrlPr>
                              <w:rPr>
                                <w:rFonts w:ascii="Cambria Math" w:eastAsiaTheme="minorEastAsia" w:hAnsi="Cambria Math" w:cs="Arial"/>
                                <w:i/>
                                <w:iCs/>
                                <w:color w:val="000000" w:themeColor="text1"/>
                                <w:kern w:val="24"/>
                                <w:sz w:val="32"/>
                                <w:szCs w:val="32"/>
                              </w:rPr>
                            </m:ctrlPr>
                          </m:sSubPr>
                          <m:e>
                            <m:acc>
                              <m:accPr>
                                <m:chr m:val="̅"/>
                                <m:ctrlPr>
                                  <w:rPr>
                                    <w:rFonts w:ascii="Cambria Math" w:eastAsiaTheme="minorEastAsia" w:hAnsi="Cambria Math" w:cs="Arial"/>
                                    <w:i/>
                                    <w:iCs/>
                                    <w:color w:val="000000" w:themeColor="text1"/>
                                    <w:kern w:val="24"/>
                                    <w:sz w:val="32"/>
                                    <w:szCs w:val="32"/>
                                  </w:rPr>
                                </m:ctrlPr>
                              </m:accPr>
                              <m:e>
                                <m:r>
                                  <w:rPr>
                                    <w:rFonts w:ascii="Cambria Math" w:eastAsiaTheme="minorEastAsia" w:hAnsi="Cambria Math" w:cs="Arial"/>
                                    <w:color w:val="000000" w:themeColor="text1"/>
                                    <w:kern w:val="24"/>
                                    <w:sz w:val="32"/>
                                    <w:szCs w:val="32"/>
                                  </w:rPr>
                                  <m:t>T</m:t>
                                </m:r>
                              </m:e>
                            </m:acc>
                          </m:e>
                          <m:sub>
                            <m:r>
                              <w:rPr>
                                <w:rFonts w:ascii="Cambria Math" w:eastAsiaTheme="minorEastAsia" w:hAnsi="Cambria Math" w:cs="Arial"/>
                                <w:color w:val="000000" w:themeColor="text1"/>
                                <w:kern w:val="24"/>
                                <w:sz w:val="32"/>
                                <w:szCs w:val="32"/>
                              </w:rPr>
                              <m:t>j,t</m:t>
                            </m:r>
                          </m:sub>
                        </m:sSub>
                      </m:e>
                    </m:d>
                    <m:r>
                      <w:rPr>
                        <w:rFonts w:ascii="Cambria Math" w:eastAsiaTheme="minorEastAsia" w:hAnsi="Cambria Math" w:cs="Arial"/>
                        <w:color w:val="000000" w:themeColor="text1"/>
                        <w:kern w:val="24"/>
                        <w:sz w:val="32"/>
                        <w:szCs w:val="32"/>
                      </w:rPr>
                      <m:t>≥0</m:t>
                    </m:r>
                  </m:e>
                </m:mr>
              </m:m>
            </m:e>
          </m:d>
          <m:r>
            <w:rPr>
              <w:rFonts w:ascii="Cambria Math" w:eastAsiaTheme="minorEastAsia" w:hAnsi="Cambria Math" w:cs="Arial"/>
              <w:color w:val="000000" w:themeColor="text1"/>
              <w:kern w:val="24"/>
              <w:sz w:val="32"/>
              <w:szCs w:val="32"/>
            </w:rPr>
            <m:t>,∀j∈EDAM∧t=1,2,…,T</m:t>
          </m:r>
        </m:oMath>
      </m:oMathPara>
    </w:p>
    <w:p w14:paraId="26FE5490" w14:textId="77777777" w:rsidR="004D29D1" w:rsidRPr="00746F54" w:rsidRDefault="004D29D1" w:rsidP="004D29D1">
      <w:pPr>
        <w:pStyle w:val="ParaText"/>
        <w:rPr>
          <w:rFonts w:ascii="Arial" w:hAnsi="Arial" w:cs="Arial"/>
        </w:rPr>
      </w:pPr>
    </w:p>
    <w:p w14:paraId="05FEEBDD" w14:textId="77777777" w:rsidR="004D29D1" w:rsidRPr="00746F54" w:rsidRDefault="004D29D1" w:rsidP="004D29D1">
      <w:pPr>
        <w:pStyle w:val="ParaText"/>
        <w:rPr>
          <w:rFonts w:ascii="Arial" w:hAnsi="Arial" w:cs="Arial"/>
        </w:rPr>
      </w:pPr>
      <w:r w:rsidRPr="00746F54">
        <w:rPr>
          <w:rFonts w:ascii="Arial" w:hAnsi="Arial" w:cs="Arial"/>
        </w:rPr>
        <w:t>Where the net transfer reference includes energy and IRU/IRD net transfers from the IFM pass</w:t>
      </w:r>
    </w:p>
    <w:p w14:paraId="1FAB1EB5" w14:textId="77777777" w:rsidR="004D29D1" w:rsidRPr="00746F54" w:rsidRDefault="00737CD1" w:rsidP="004D29D1">
      <w:pPr>
        <w:spacing w:before="77" w:after="0" w:line="240" w:lineRule="auto"/>
        <w:ind w:left="1354"/>
        <w:textAlignment w:val="baseline"/>
        <w:rPr>
          <w:rFonts w:ascii="Arial" w:eastAsia="Times New Roman" w:hAnsi="Arial" w:cs="Arial"/>
          <w:sz w:val="24"/>
          <w:szCs w:val="24"/>
        </w:rPr>
      </w:pPr>
      <m:oMathPara>
        <m:oMathParaPr>
          <m:jc m:val="centerGroup"/>
        </m:oMathParaPr>
        <m:oMath>
          <m:sSub>
            <m:sSubPr>
              <m:ctrlPr>
                <w:rPr>
                  <w:rFonts w:ascii="Cambria Math" w:eastAsiaTheme="minorEastAsia" w:hAnsi="Cambria Math" w:cs="Arial"/>
                  <w:i/>
                  <w:iCs/>
                  <w:color w:val="000000" w:themeColor="text1"/>
                  <w:kern w:val="24"/>
                  <w:sz w:val="32"/>
                  <w:szCs w:val="32"/>
                </w:rPr>
              </m:ctrlPr>
            </m:sSubPr>
            <m:e>
              <m:acc>
                <m:accPr>
                  <m:chr m:val="̅"/>
                  <m:ctrlPr>
                    <w:rPr>
                      <w:rFonts w:ascii="Cambria Math" w:eastAsiaTheme="minorEastAsia" w:hAnsi="Cambria Math" w:cs="Arial"/>
                      <w:i/>
                      <w:iCs/>
                      <w:color w:val="000000" w:themeColor="text1"/>
                      <w:kern w:val="24"/>
                      <w:sz w:val="32"/>
                      <w:szCs w:val="32"/>
                    </w:rPr>
                  </m:ctrlPr>
                </m:accPr>
                <m:e>
                  <m:r>
                    <w:rPr>
                      <w:rFonts w:ascii="Cambria Math" w:eastAsiaTheme="minorEastAsia" w:hAnsi="Cambria Math" w:cs="Arial"/>
                      <w:color w:val="000000" w:themeColor="text1"/>
                      <w:kern w:val="24"/>
                      <w:sz w:val="32"/>
                      <w:szCs w:val="32"/>
                    </w:rPr>
                    <m:t>T</m:t>
                  </m:r>
                </m:e>
              </m:acc>
            </m:e>
            <m:sub>
              <m:r>
                <w:rPr>
                  <w:rFonts w:ascii="Cambria Math" w:eastAsiaTheme="minorEastAsia" w:hAnsi="Cambria Math" w:cs="Arial"/>
                  <w:color w:val="000000" w:themeColor="text1"/>
                  <w:kern w:val="24"/>
                  <w:sz w:val="32"/>
                  <w:szCs w:val="32"/>
                </w:rPr>
                <m:t>j</m:t>
              </m:r>
              <m:r>
                <m:rPr>
                  <m:sty m:val="p"/>
                </m:rPr>
                <w:rPr>
                  <w:rFonts w:ascii="Cambria Math" w:eastAsiaTheme="minorEastAsia" w:hAnsi="Cambria Math" w:cs="Arial"/>
                  <w:color w:val="000000" w:themeColor="text1"/>
                  <w:kern w:val="24"/>
                  <w:sz w:val="32"/>
                  <w:szCs w:val="32"/>
                </w:rPr>
                <m:t>,</m:t>
              </m:r>
              <m:r>
                <w:rPr>
                  <w:rFonts w:ascii="Cambria Math" w:eastAsiaTheme="minorEastAsia" w:hAnsi="Cambria Math" w:cs="Arial"/>
                  <w:color w:val="000000" w:themeColor="text1"/>
                  <w:kern w:val="24"/>
                  <w:sz w:val="32"/>
                  <w:szCs w:val="32"/>
                </w:rPr>
                <m:t>t</m:t>
              </m:r>
            </m:sub>
          </m:sSub>
          <m:r>
            <m:rPr>
              <m:sty m:val="p"/>
            </m:rPr>
            <w:rPr>
              <w:rFonts w:ascii="Cambria Math" w:eastAsiaTheme="minorEastAsia" w:hAnsi="Cambria Math" w:cs="Arial"/>
              <w:color w:val="000000" w:themeColor="text1"/>
              <w:kern w:val="24"/>
              <w:sz w:val="32"/>
              <w:szCs w:val="32"/>
            </w:rPr>
            <m:t>=</m:t>
          </m:r>
          <m:sSubSup>
            <m:sSubSupPr>
              <m:ctrlPr>
                <w:rPr>
                  <w:rFonts w:ascii="Cambria Math" w:eastAsiaTheme="minorEastAsia" w:hAnsi="Cambria Math" w:cs="Arial"/>
                  <w:i/>
                  <w:iCs/>
                  <w:color w:val="000000" w:themeColor="text1"/>
                  <w:kern w:val="24"/>
                  <w:sz w:val="32"/>
                  <w:szCs w:val="32"/>
                </w:rPr>
              </m:ctrlPr>
            </m:sSubSupPr>
            <m:e>
              <m:r>
                <w:rPr>
                  <w:rFonts w:ascii="Cambria Math" w:eastAsiaTheme="minorEastAsia" w:hAnsi="Cambria Math" w:cs="Arial"/>
                  <w:color w:val="000000" w:themeColor="text1"/>
                  <w:kern w:val="24"/>
                  <w:sz w:val="32"/>
                  <w:szCs w:val="32"/>
                </w:rPr>
                <m:t>T</m:t>
              </m:r>
            </m:e>
            <m:sub>
              <m:r>
                <w:rPr>
                  <w:rFonts w:ascii="Cambria Math" w:eastAsiaTheme="minorEastAsia" w:hAnsi="Cambria Math" w:cs="Arial"/>
                  <w:color w:val="000000" w:themeColor="text1"/>
                  <w:kern w:val="24"/>
                  <w:sz w:val="32"/>
                  <w:szCs w:val="32"/>
                </w:rPr>
                <m:t>j,t</m:t>
              </m:r>
            </m:sub>
            <m:sup>
              <m:r>
                <w:rPr>
                  <w:rFonts w:ascii="Cambria Math" w:eastAsiaTheme="minorEastAsia" w:hAnsi="Cambria Math" w:cs="Arial"/>
                  <w:color w:val="000000" w:themeColor="text1"/>
                  <w:kern w:val="24"/>
                  <w:sz w:val="32"/>
                  <w:szCs w:val="32"/>
                </w:rPr>
                <m:t>(EN)</m:t>
              </m:r>
            </m:sup>
          </m:sSubSup>
          <m:r>
            <m:rPr>
              <m:sty m:val="p"/>
            </m:rPr>
            <w:rPr>
              <w:rFonts w:ascii="Cambria Math" w:eastAsiaTheme="minorEastAsia" w:hAnsi="Cambria Math" w:cs="Arial"/>
              <w:color w:val="000000" w:themeColor="text1"/>
              <w:kern w:val="24"/>
              <w:sz w:val="32"/>
              <w:szCs w:val="32"/>
            </w:rPr>
            <m:t>+</m:t>
          </m:r>
          <m:sSubSup>
            <m:sSubSupPr>
              <m:ctrlPr>
                <w:rPr>
                  <w:rFonts w:ascii="Cambria Math" w:eastAsiaTheme="minorEastAsia" w:hAnsi="Cambria Math" w:cs="Arial"/>
                  <w:i/>
                  <w:iCs/>
                  <w:color w:val="000000" w:themeColor="text1"/>
                  <w:kern w:val="24"/>
                  <w:sz w:val="32"/>
                  <w:szCs w:val="32"/>
                </w:rPr>
              </m:ctrlPr>
            </m:sSubSupPr>
            <m:e>
              <m:r>
                <w:rPr>
                  <w:rFonts w:ascii="Cambria Math" w:eastAsiaTheme="minorEastAsia" w:hAnsi="Cambria Math" w:cs="Arial"/>
                  <w:color w:val="000000" w:themeColor="text1"/>
                  <w:kern w:val="24"/>
                  <w:sz w:val="32"/>
                  <w:szCs w:val="32"/>
                </w:rPr>
                <m:t>T</m:t>
              </m:r>
            </m:e>
            <m:sub>
              <m:r>
                <w:rPr>
                  <w:rFonts w:ascii="Cambria Math" w:eastAsiaTheme="minorEastAsia" w:hAnsi="Cambria Math" w:cs="Arial"/>
                  <w:color w:val="000000" w:themeColor="text1"/>
                  <w:kern w:val="24"/>
                  <w:sz w:val="32"/>
                  <w:szCs w:val="32"/>
                </w:rPr>
                <m:t>j,t</m:t>
              </m:r>
            </m:sub>
            <m:sup>
              <m:r>
                <w:rPr>
                  <w:rFonts w:ascii="Cambria Math" w:eastAsiaTheme="minorEastAsia" w:hAnsi="Cambria Math" w:cs="Arial"/>
                  <w:color w:val="000000" w:themeColor="text1"/>
                  <w:kern w:val="24"/>
                  <w:sz w:val="32"/>
                  <w:szCs w:val="32"/>
                </w:rPr>
                <m:t>(IRU)</m:t>
              </m:r>
            </m:sup>
          </m:sSubSup>
          <m:r>
            <w:rPr>
              <w:rFonts w:ascii="Cambria Math" w:eastAsiaTheme="minorEastAsia" w:hAnsi="Cambria Math" w:cs="Arial"/>
              <w:color w:val="000000" w:themeColor="text1"/>
              <w:kern w:val="24"/>
              <w:sz w:val="32"/>
              <w:szCs w:val="32"/>
            </w:rPr>
            <m:t>-</m:t>
          </m:r>
          <m:sSubSup>
            <m:sSubSupPr>
              <m:ctrlPr>
                <w:rPr>
                  <w:rFonts w:ascii="Cambria Math" w:eastAsiaTheme="minorEastAsia" w:hAnsi="Cambria Math" w:cs="Arial"/>
                  <w:i/>
                  <w:iCs/>
                  <w:color w:val="000000" w:themeColor="text1"/>
                  <w:kern w:val="24"/>
                  <w:sz w:val="32"/>
                  <w:szCs w:val="32"/>
                </w:rPr>
              </m:ctrlPr>
            </m:sSubSupPr>
            <m:e>
              <m:r>
                <w:rPr>
                  <w:rFonts w:ascii="Cambria Math" w:eastAsiaTheme="minorEastAsia" w:hAnsi="Cambria Math" w:cs="Arial"/>
                  <w:color w:val="000000" w:themeColor="text1"/>
                  <w:kern w:val="24"/>
                  <w:sz w:val="32"/>
                  <w:szCs w:val="32"/>
                </w:rPr>
                <m:t>T</m:t>
              </m:r>
            </m:e>
            <m:sub>
              <m:r>
                <w:rPr>
                  <w:rFonts w:ascii="Cambria Math" w:eastAsiaTheme="minorEastAsia" w:hAnsi="Cambria Math" w:cs="Arial"/>
                  <w:color w:val="000000" w:themeColor="text1"/>
                  <w:kern w:val="24"/>
                  <w:sz w:val="32"/>
                  <w:szCs w:val="32"/>
                </w:rPr>
                <m:t>j,t</m:t>
              </m:r>
            </m:sub>
            <m:sup>
              <m:r>
                <w:rPr>
                  <w:rFonts w:ascii="Cambria Math" w:eastAsiaTheme="minorEastAsia" w:hAnsi="Cambria Math" w:cs="Arial"/>
                  <w:color w:val="000000" w:themeColor="text1"/>
                  <w:kern w:val="24"/>
                  <w:sz w:val="32"/>
                  <w:szCs w:val="32"/>
                </w:rPr>
                <m:t>(IRD)</m:t>
              </m:r>
            </m:sup>
          </m:sSubSup>
          <m:r>
            <w:rPr>
              <w:rFonts w:ascii="Cambria Math" w:eastAsiaTheme="minorEastAsia" w:hAnsi="Cambria Math" w:cs="Arial"/>
              <w:color w:val="000000" w:themeColor="text1"/>
              <w:kern w:val="24"/>
              <w:sz w:val="32"/>
              <w:szCs w:val="32"/>
            </w:rPr>
            <m:t>,∀j∈EDAM∧t=1,2,…,T</m:t>
          </m:r>
        </m:oMath>
      </m:oMathPara>
    </w:p>
    <w:p w14:paraId="76711D54" w14:textId="77777777" w:rsidR="004D29D1" w:rsidRPr="00746F54" w:rsidRDefault="004D29D1" w:rsidP="004D29D1">
      <w:pPr>
        <w:pStyle w:val="ParaText"/>
        <w:rPr>
          <w:rFonts w:ascii="Arial" w:hAnsi="Arial" w:cs="Arial"/>
        </w:rPr>
      </w:pPr>
    </w:p>
    <w:p w14:paraId="6C7F068B" w14:textId="227E275D" w:rsidR="004D29D1" w:rsidRPr="00746F54" w:rsidRDefault="004D29D1" w:rsidP="004D29D1">
      <w:pPr>
        <w:pStyle w:val="ParaText"/>
        <w:spacing w:line="360" w:lineRule="auto"/>
        <w:rPr>
          <w:rFonts w:ascii="Arial" w:hAnsi="Arial" w:cs="Arial"/>
        </w:rPr>
      </w:pPr>
      <w:r w:rsidRPr="00746F54">
        <w:rPr>
          <w:rFonts w:ascii="Arial" w:hAnsi="Arial" w:cs="Arial"/>
        </w:rPr>
        <w:t>The Extended Day-Ahead Market will include a constraint to ensure each EDAM entity meets its Balancing Authority Area requirements before supporting EDAM transfers. The constraint will not allow a simultaneous power balance constraint violation in the upward/downward direction with a net EDAM Transfer export/import beyond the net EDAM Transfer eligible for the EDAM Resource Sufficiency Evaluation as established in Section 33.18.2.1</w:t>
      </w:r>
    </w:p>
    <w:p w14:paraId="602AE9F8" w14:textId="77777777" w:rsidR="004D29D1" w:rsidRPr="00746F54" w:rsidRDefault="004D29D1" w:rsidP="004D29D1">
      <w:pPr>
        <w:pStyle w:val="Paragraph"/>
        <w:spacing w:line="360" w:lineRule="auto"/>
        <w:rPr>
          <w:rFonts w:ascii="Arial" w:hAnsi="Arial" w:cs="Arial"/>
          <w:sz w:val="22"/>
        </w:rPr>
      </w:pPr>
      <w:r w:rsidRPr="00746F54">
        <w:rPr>
          <w:rFonts w:ascii="Arial" w:hAnsi="Arial" w:cs="Arial"/>
          <w:sz w:val="22"/>
        </w:rPr>
        <w:t>The EDAM BAA power balance constraints in the IFM can be relaxed at a penalty by including energy supply shortfall and surplus variables.</w:t>
      </w:r>
    </w:p>
    <w:p w14:paraId="695EC973" w14:textId="77777777" w:rsidR="004D29D1" w:rsidRPr="00746F54" w:rsidRDefault="004D29D1" w:rsidP="004D29D1">
      <w:pPr>
        <w:pStyle w:val="Paragraph"/>
        <w:spacing w:line="360" w:lineRule="auto"/>
        <w:rPr>
          <w:rFonts w:ascii="Arial" w:hAnsi="Arial" w:cs="Arial"/>
          <w:sz w:val="22"/>
        </w:rPr>
      </w:pPr>
      <w:r w:rsidRPr="00746F54">
        <w:rPr>
          <w:rFonts w:ascii="Arial" w:hAnsi="Arial" w:cs="Arial"/>
          <w:sz w:val="22"/>
        </w:rPr>
        <w:t>Where the energy supply shortfall (</w:t>
      </w:r>
      <w:r w:rsidRPr="00746F54">
        <w:rPr>
          <w:rFonts w:ascii="Arial" w:hAnsi="Arial" w:cs="Arial"/>
          <w:i/>
          <w:sz w:val="22"/>
        </w:rPr>
        <w:t>ENUS</w:t>
      </w:r>
      <w:r w:rsidRPr="00746F54">
        <w:rPr>
          <w:rFonts w:ascii="Arial" w:hAnsi="Arial" w:cs="Arial"/>
          <w:sz w:val="22"/>
        </w:rPr>
        <w:t>) and surplus (</w:t>
      </w:r>
      <w:r w:rsidRPr="00746F54">
        <w:rPr>
          <w:rFonts w:ascii="Arial" w:hAnsi="Arial" w:cs="Arial"/>
          <w:i/>
          <w:sz w:val="22"/>
        </w:rPr>
        <w:t>ENDS</w:t>
      </w:r>
      <w:r w:rsidRPr="00746F54">
        <w:rPr>
          <w:rFonts w:ascii="Arial" w:hAnsi="Arial" w:cs="Arial"/>
          <w:sz w:val="22"/>
        </w:rPr>
        <w:t>) variables are assigned penalty costs in the objective function. To prevent transfers causing a power balance constraint relaxation in an EDAM BAA j interval t, the following constraints are enforced in the IFM:</w:t>
      </w:r>
    </w:p>
    <w:p w14:paraId="7463325E" w14:textId="77777777" w:rsidR="004D29D1" w:rsidRPr="00746F54" w:rsidRDefault="00737CD1" w:rsidP="004D29D1">
      <w:pPr>
        <w:pStyle w:val="Equation"/>
        <w:spacing w:line="360" w:lineRule="auto"/>
        <w:rPr>
          <w:rFonts w:ascii="Arial" w:hAnsi="Arial" w:cs="Arial"/>
          <w:sz w:val="22"/>
          <w:szCs w:val="22"/>
        </w:rPr>
      </w:pPr>
      <m:oMathPara>
        <m:oMath>
          <m:d>
            <m:dPr>
              <m:begChr m:val=""/>
              <m:endChr m:val="}"/>
              <m:ctrlPr>
                <w:rPr>
                  <w:rFonts w:ascii="Cambria Math" w:hAnsi="Cambria Math" w:cs="Arial"/>
                  <w:sz w:val="22"/>
                  <w:szCs w:val="22"/>
                </w:rPr>
              </m:ctrlPr>
            </m:dPr>
            <m:e>
              <m:m>
                <m:mPr>
                  <m:mcs>
                    <m:mc>
                      <m:mcPr>
                        <m:count m:val="1"/>
                        <m:mcJc m:val="center"/>
                      </m:mcPr>
                    </m:mc>
                  </m:mcs>
                  <m:ctrlPr>
                    <w:rPr>
                      <w:rFonts w:ascii="Cambria Math" w:hAnsi="Cambria Math" w:cs="Arial"/>
                      <w:i/>
                      <w:sz w:val="22"/>
                      <w:szCs w:val="22"/>
                    </w:rPr>
                  </m:ctrlPr>
                </m:mPr>
                <m:mr>
                  <m:e>
                    <m:sSub>
                      <m:sSubPr>
                        <m:ctrlPr>
                          <w:rPr>
                            <w:rFonts w:ascii="Cambria Math" w:hAnsi="Cambria Math" w:cs="Arial"/>
                            <w:i/>
                            <w:iCs/>
                            <w:sz w:val="22"/>
                            <w:szCs w:val="22"/>
                          </w:rPr>
                        </m:ctrlPr>
                      </m:sSubPr>
                      <m:e>
                        <m:r>
                          <w:rPr>
                            <w:rFonts w:ascii="Cambria Math" w:hAnsi="Cambria Math" w:cs="Arial"/>
                            <w:sz w:val="22"/>
                            <w:szCs w:val="22"/>
                          </w:rPr>
                          <m:t>ENUS</m:t>
                        </m:r>
                      </m:e>
                      <m:sub>
                        <m:r>
                          <w:rPr>
                            <w:rFonts w:ascii="Cambria Math" w:hAnsi="Cambria Math" w:cs="Arial"/>
                            <w:sz w:val="22"/>
                            <w:szCs w:val="22"/>
                          </w:rPr>
                          <m:t>j,t</m:t>
                        </m:r>
                      </m:sub>
                    </m:sSub>
                    <m:r>
                      <w:rPr>
                        <w:rFonts w:ascii="Cambria Math" w:hAnsi="Cambria Math" w:cs="Arial"/>
                        <w:sz w:val="22"/>
                        <w:szCs w:val="22"/>
                      </w:rPr>
                      <m:t> </m:t>
                    </m:r>
                    <m:d>
                      <m:dPr>
                        <m:ctrlPr>
                          <w:rPr>
                            <w:rFonts w:ascii="Cambria Math" w:hAnsi="Cambria Math" w:cs="Arial"/>
                            <w:i/>
                            <w:iCs/>
                            <w:sz w:val="22"/>
                            <w:szCs w:val="22"/>
                          </w:rPr>
                        </m:ctrlPr>
                      </m:dPr>
                      <m:e>
                        <m:sSubSup>
                          <m:sSubSupPr>
                            <m:ctrlPr>
                              <w:rPr>
                                <w:rFonts w:ascii="Cambria Math" w:hAnsi="Cambria Math" w:cs="Arial"/>
                                <w:i/>
                                <w:iCs/>
                                <w:sz w:val="22"/>
                                <w:szCs w:val="22"/>
                              </w:rPr>
                            </m:ctrlPr>
                          </m:sSubSupPr>
                          <m:e>
                            <m:r>
                              <w:rPr>
                                <w:rFonts w:ascii="Cambria Math" w:hAnsi="Cambria Math" w:cs="Arial"/>
                                <w:sz w:val="22"/>
                                <w:szCs w:val="22"/>
                              </w:rPr>
                              <m:t>T</m:t>
                            </m:r>
                          </m:e>
                          <m:sub>
                            <m:r>
                              <w:rPr>
                                <w:rFonts w:ascii="Cambria Math" w:hAnsi="Cambria Math" w:cs="Arial"/>
                                <w:sz w:val="22"/>
                                <w:szCs w:val="22"/>
                              </w:rPr>
                              <m:t>j,t</m:t>
                            </m:r>
                          </m:sub>
                          <m:sup>
                            <m:d>
                              <m:dPr>
                                <m:ctrlPr>
                                  <w:rPr>
                                    <w:rFonts w:ascii="Cambria Math" w:hAnsi="Cambria Math" w:cs="Arial"/>
                                    <w:i/>
                                    <w:iCs/>
                                    <w:sz w:val="22"/>
                                    <w:szCs w:val="22"/>
                                  </w:rPr>
                                </m:ctrlPr>
                              </m:dPr>
                              <m:e>
                                <m:r>
                                  <w:rPr>
                                    <w:rFonts w:ascii="Cambria Math" w:hAnsi="Cambria Math" w:cs="Arial"/>
                                    <w:sz w:val="22"/>
                                    <w:szCs w:val="22"/>
                                  </w:rPr>
                                  <m:t>EN</m:t>
                                </m:r>
                              </m:e>
                            </m:d>
                          </m:sup>
                        </m:sSubSup>
                        <m:r>
                          <w:rPr>
                            <w:rFonts w:ascii="Cambria Math" w:hAnsi="Cambria Math" w:cs="Arial"/>
                            <w:sz w:val="22"/>
                            <w:szCs w:val="22"/>
                          </w:rPr>
                          <m:t>-</m:t>
                        </m:r>
                        <m:sSub>
                          <m:sSubPr>
                            <m:ctrlPr>
                              <w:rPr>
                                <w:rFonts w:ascii="Cambria Math" w:hAnsi="Cambria Math" w:cs="Arial"/>
                                <w:i/>
                                <w:iCs/>
                                <w:sz w:val="22"/>
                                <w:szCs w:val="22"/>
                              </w:rPr>
                            </m:ctrlPr>
                          </m:sSubPr>
                          <m:e>
                            <m:acc>
                              <m:accPr>
                                <m:chr m:val="̅"/>
                                <m:ctrlPr>
                                  <w:rPr>
                                    <w:rFonts w:ascii="Cambria Math" w:hAnsi="Cambria Math" w:cs="Arial"/>
                                    <w:i/>
                                    <w:sz w:val="22"/>
                                    <w:szCs w:val="22"/>
                                  </w:rPr>
                                </m:ctrlPr>
                              </m:accPr>
                              <m:e>
                                <m:r>
                                  <w:rPr>
                                    <w:rFonts w:ascii="Cambria Math" w:hAnsi="Cambria Math" w:cs="Arial"/>
                                    <w:sz w:val="22"/>
                                    <w:szCs w:val="22"/>
                                  </w:rPr>
                                  <m:t>T</m:t>
                                </m:r>
                              </m:e>
                            </m:acc>
                          </m:e>
                          <m:sub>
                            <m:r>
                              <w:rPr>
                                <w:rFonts w:ascii="Cambria Math" w:hAnsi="Cambria Math" w:cs="Arial"/>
                                <w:sz w:val="22"/>
                                <w:szCs w:val="22"/>
                              </w:rPr>
                              <m:t>j,t</m:t>
                            </m:r>
                          </m:sub>
                        </m:sSub>
                      </m:e>
                    </m:d>
                    <m:r>
                      <w:rPr>
                        <w:rFonts w:ascii="Cambria Math" w:hAnsi="Cambria Math" w:cs="Arial"/>
                        <w:sz w:val="22"/>
                        <w:szCs w:val="22"/>
                      </w:rPr>
                      <m:t>≤0</m:t>
                    </m:r>
                  </m:e>
                </m:mr>
                <m:mr>
                  <m:e>
                    <m:sSub>
                      <m:sSubPr>
                        <m:ctrlPr>
                          <w:rPr>
                            <w:rFonts w:ascii="Cambria Math" w:hAnsi="Cambria Math" w:cs="Arial"/>
                            <w:i/>
                            <w:iCs/>
                            <w:sz w:val="22"/>
                            <w:szCs w:val="22"/>
                          </w:rPr>
                        </m:ctrlPr>
                      </m:sSubPr>
                      <m:e>
                        <m:r>
                          <w:rPr>
                            <w:rFonts w:ascii="Cambria Math" w:hAnsi="Cambria Math" w:cs="Arial"/>
                            <w:sz w:val="22"/>
                            <w:szCs w:val="22"/>
                          </w:rPr>
                          <m:t>ENDS</m:t>
                        </m:r>
                      </m:e>
                      <m:sub>
                        <m:r>
                          <w:rPr>
                            <w:rFonts w:ascii="Cambria Math" w:hAnsi="Cambria Math" w:cs="Arial"/>
                            <w:sz w:val="22"/>
                            <w:szCs w:val="22"/>
                          </w:rPr>
                          <m:t>j,t</m:t>
                        </m:r>
                      </m:sub>
                    </m:sSub>
                    <m:r>
                      <w:rPr>
                        <w:rFonts w:ascii="Cambria Math" w:hAnsi="Cambria Math" w:cs="Arial"/>
                        <w:sz w:val="22"/>
                        <w:szCs w:val="22"/>
                      </w:rPr>
                      <m:t> </m:t>
                    </m:r>
                    <m:d>
                      <m:dPr>
                        <m:ctrlPr>
                          <w:rPr>
                            <w:rFonts w:ascii="Cambria Math" w:hAnsi="Cambria Math" w:cs="Arial"/>
                            <w:i/>
                            <w:iCs/>
                            <w:sz w:val="22"/>
                            <w:szCs w:val="22"/>
                          </w:rPr>
                        </m:ctrlPr>
                      </m:dPr>
                      <m:e>
                        <m:sSubSup>
                          <m:sSubSupPr>
                            <m:ctrlPr>
                              <w:rPr>
                                <w:rFonts w:ascii="Cambria Math" w:hAnsi="Cambria Math" w:cs="Arial"/>
                                <w:i/>
                                <w:iCs/>
                                <w:sz w:val="22"/>
                                <w:szCs w:val="22"/>
                              </w:rPr>
                            </m:ctrlPr>
                          </m:sSubSupPr>
                          <m:e>
                            <m:r>
                              <w:rPr>
                                <w:rFonts w:ascii="Cambria Math" w:hAnsi="Cambria Math" w:cs="Arial"/>
                                <w:sz w:val="22"/>
                                <w:szCs w:val="22"/>
                              </w:rPr>
                              <m:t>T</m:t>
                            </m:r>
                          </m:e>
                          <m:sub>
                            <m:r>
                              <w:rPr>
                                <w:rFonts w:ascii="Cambria Math" w:hAnsi="Cambria Math" w:cs="Arial"/>
                                <w:sz w:val="22"/>
                                <w:szCs w:val="22"/>
                              </w:rPr>
                              <m:t>j,t</m:t>
                            </m:r>
                          </m:sub>
                          <m:sup>
                            <m:d>
                              <m:dPr>
                                <m:ctrlPr>
                                  <w:rPr>
                                    <w:rFonts w:ascii="Cambria Math" w:hAnsi="Cambria Math" w:cs="Arial"/>
                                    <w:i/>
                                    <w:iCs/>
                                    <w:sz w:val="22"/>
                                    <w:szCs w:val="22"/>
                                  </w:rPr>
                                </m:ctrlPr>
                              </m:dPr>
                              <m:e>
                                <m:r>
                                  <w:rPr>
                                    <w:rFonts w:ascii="Cambria Math" w:hAnsi="Cambria Math" w:cs="Arial"/>
                                    <w:sz w:val="22"/>
                                    <w:szCs w:val="22"/>
                                  </w:rPr>
                                  <m:t>EN</m:t>
                                </m:r>
                              </m:e>
                            </m:d>
                          </m:sup>
                        </m:sSubSup>
                        <m:r>
                          <w:rPr>
                            <w:rFonts w:ascii="Cambria Math" w:hAnsi="Cambria Math" w:cs="Arial"/>
                            <w:sz w:val="22"/>
                            <w:szCs w:val="22"/>
                          </w:rPr>
                          <m:t>-</m:t>
                        </m:r>
                        <m:sSub>
                          <m:sSubPr>
                            <m:ctrlPr>
                              <w:rPr>
                                <w:rFonts w:ascii="Cambria Math" w:hAnsi="Cambria Math" w:cs="Arial"/>
                                <w:i/>
                                <w:iCs/>
                                <w:sz w:val="22"/>
                                <w:szCs w:val="22"/>
                              </w:rPr>
                            </m:ctrlPr>
                          </m:sSubPr>
                          <m:e>
                            <m:acc>
                              <m:accPr>
                                <m:chr m:val="̅"/>
                                <m:ctrlPr>
                                  <w:rPr>
                                    <w:rFonts w:ascii="Cambria Math" w:hAnsi="Cambria Math" w:cs="Arial"/>
                                    <w:i/>
                                    <w:sz w:val="22"/>
                                    <w:szCs w:val="22"/>
                                  </w:rPr>
                                </m:ctrlPr>
                              </m:accPr>
                              <m:e>
                                <m:r>
                                  <w:rPr>
                                    <w:rFonts w:ascii="Cambria Math" w:hAnsi="Cambria Math" w:cs="Arial"/>
                                    <w:sz w:val="22"/>
                                    <w:szCs w:val="22"/>
                                  </w:rPr>
                                  <m:t>T</m:t>
                                </m:r>
                              </m:e>
                            </m:acc>
                          </m:e>
                          <m:sub>
                            <m:r>
                              <w:rPr>
                                <w:rFonts w:ascii="Cambria Math" w:hAnsi="Cambria Math" w:cs="Arial"/>
                                <w:sz w:val="22"/>
                                <w:szCs w:val="22"/>
                              </w:rPr>
                              <m:t>j,t</m:t>
                            </m:r>
                          </m:sub>
                        </m:sSub>
                      </m:e>
                    </m:d>
                    <m:r>
                      <w:rPr>
                        <w:rFonts w:ascii="Cambria Math" w:hAnsi="Cambria Math" w:cs="Arial"/>
                        <w:sz w:val="22"/>
                        <w:szCs w:val="22"/>
                      </w:rPr>
                      <m:t>≥0</m:t>
                    </m:r>
                  </m:e>
                </m:mr>
              </m:m>
            </m:e>
          </m:d>
          <m:r>
            <w:rPr>
              <w:rFonts w:ascii="Cambria Math" w:hAnsi="Cambria Math" w:cs="Arial"/>
              <w:sz w:val="22"/>
              <w:szCs w:val="22"/>
            </w:rPr>
            <m:t>,∀j∈EDAM∧t=1,2,…,T</m:t>
          </m:r>
        </m:oMath>
      </m:oMathPara>
    </w:p>
    <w:p w14:paraId="1C902814" w14:textId="77777777" w:rsidR="004D29D1" w:rsidRPr="00746F54" w:rsidRDefault="004D29D1" w:rsidP="004D29D1">
      <w:pPr>
        <w:pStyle w:val="Paragraph"/>
        <w:spacing w:line="360" w:lineRule="auto"/>
        <w:rPr>
          <w:rFonts w:ascii="Arial" w:hAnsi="Arial" w:cs="Arial"/>
          <w:sz w:val="22"/>
        </w:rPr>
      </w:pPr>
      <w:r w:rsidRPr="00746F54">
        <w:rPr>
          <w:rFonts w:ascii="Arial" w:hAnsi="Arial" w:cs="Arial"/>
          <w:sz w:val="22"/>
        </w:rPr>
        <w:t xml:space="preserve">These constraints will not allow a net export energy transfer ( </w:t>
      </w:r>
      <m:oMath>
        <m:sSubSup>
          <m:sSubSupPr>
            <m:ctrlPr>
              <w:rPr>
                <w:rFonts w:ascii="Cambria Math" w:hAnsi="Cambria Math" w:cs="Arial"/>
                <w:i/>
                <w:iCs/>
                <w:sz w:val="22"/>
              </w:rPr>
            </m:ctrlPr>
          </m:sSubSupPr>
          <m:e>
            <m:r>
              <w:rPr>
                <w:rFonts w:ascii="Cambria Math" w:hAnsi="Cambria Math" w:cs="Arial"/>
                <w:sz w:val="22"/>
              </w:rPr>
              <m:t>T</m:t>
            </m:r>
          </m:e>
          <m:sub>
            <m:r>
              <w:rPr>
                <w:rFonts w:ascii="Cambria Math" w:hAnsi="Cambria Math" w:cs="Arial"/>
                <w:sz w:val="22"/>
              </w:rPr>
              <m:t>j,t</m:t>
            </m:r>
          </m:sub>
          <m:sup>
            <m:d>
              <m:dPr>
                <m:ctrlPr>
                  <w:rPr>
                    <w:rFonts w:ascii="Cambria Math" w:hAnsi="Cambria Math" w:cs="Arial"/>
                    <w:i/>
                    <w:iCs/>
                    <w:sz w:val="22"/>
                  </w:rPr>
                </m:ctrlPr>
              </m:dPr>
              <m:e>
                <m:r>
                  <w:rPr>
                    <w:rFonts w:ascii="Cambria Math" w:hAnsi="Cambria Math" w:cs="Arial"/>
                    <w:sz w:val="22"/>
                  </w:rPr>
                  <m:t>EN</m:t>
                </m:r>
              </m:e>
            </m:d>
          </m:sup>
        </m:sSubSup>
        <m:r>
          <w:rPr>
            <w:rFonts w:ascii="Cambria Math" w:hAnsi="Cambria Math" w:cs="Arial"/>
            <w:sz w:val="22"/>
          </w:rPr>
          <m:t xml:space="preserve">) </m:t>
        </m:r>
      </m:oMath>
      <w:r w:rsidRPr="00746F54">
        <w:rPr>
          <w:rFonts w:ascii="Arial" w:hAnsi="Arial" w:cs="Arial"/>
          <w:sz w:val="22"/>
        </w:rPr>
        <w:t>above a reference (</w:t>
      </w:r>
      <m:oMath>
        <m:sSub>
          <m:sSubPr>
            <m:ctrlPr>
              <w:rPr>
                <w:rFonts w:ascii="Cambria Math" w:hAnsi="Cambria Math" w:cs="Arial"/>
                <w:i/>
                <w:iCs/>
                <w:sz w:val="22"/>
              </w:rPr>
            </m:ctrlPr>
          </m:sSubPr>
          <m:e>
            <m:acc>
              <m:accPr>
                <m:chr m:val="̅"/>
                <m:ctrlPr>
                  <w:rPr>
                    <w:rFonts w:ascii="Cambria Math" w:hAnsi="Cambria Math" w:cs="Arial"/>
                    <w:i/>
                    <w:sz w:val="22"/>
                  </w:rPr>
                </m:ctrlPr>
              </m:accPr>
              <m:e>
                <m:r>
                  <w:rPr>
                    <w:rFonts w:ascii="Cambria Math" w:hAnsi="Cambria Math" w:cs="Arial"/>
                    <w:sz w:val="22"/>
                  </w:rPr>
                  <m:t>T</m:t>
                </m:r>
              </m:e>
            </m:acc>
          </m:e>
          <m:sub>
            <m:r>
              <w:rPr>
                <w:rFonts w:ascii="Cambria Math" w:hAnsi="Cambria Math" w:cs="Arial"/>
                <w:sz w:val="22"/>
              </w:rPr>
              <m:t>j,t</m:t>
            </m:r>
          </m:sub>
        </m:sSub>
        <m:r>
          <w:rPr>
            <w:rFonts w:ascii="Cambria Math" w:hAnsi="Cambria Math" w:cs="Arial"/>
            <w:sz w:val="22"/>
          </w:rPr>
          <m:t>)</m:t>
        </m:r>
      </m:oMath>
      <w:r w:rsidRPr="00746F54">
        <w:rPr>
          <w:rFonts w:ascii="Arial" w:hAnsi="Arial" w:cs="Arial"/>
          <w:sz w:val="22"/>
        </w:rPr>
        <w:t xml:space="preserve"> to cause power balance shortfall, or a net import energy transfer below a reference to cause power balance surplus. The net transfer reference is the RSE-eligible net transfer (</w:t>
      </w:r>
      <m:oMath>
        <m:sSubSup>
          <m:sSubSupPr>
            <m:ctrlPr>
              <w:rPr>
                <w:rFonts w:ascii="Cambria Math" w:hAnsi="Cambria Math" w:cs="Arial"/>
                <w:i/>
                <w:sz w:val="22"/>
              </w:rPr>
            </m:ctrlPr>
          </m:sSubSupPr>
          <m:e>
            <m:r>
              <w:rPr>
                <w:rFonts w:ascii="Cambria Math" w:hAnsi="Cambria Math" w:cs="Arial"/>
                <w:sz w:val="22"/>
              </w:rPr>
              <m:t>T</m:t>
            </m:r>
          </m:e>
          <m:sub>
            <m:r>
              <w:rPr>
                <w:rFonts w:ascii="Cambria Math" w:hAnsi="Cambria Math" w:cs="Arial"/>
                <w:sz w:val="22"/>
              </w:rPr>
              <m:t>j,t</m:t>
            </m:r>
          </m:sub>
          <m:sup>
            <m:r>
              <w:rPr>
                <w:rFonts w:ascii="Cambria Math" w:hAnsi="Cambria Math" w:cs="Arial"/>
                <w:sz w:val="22"/>
              </w:rPr>
              <m:t>(RSE)</m:t>
            </m:r>
          </m:sup>
        </m:sSubSup>
        <m:r>
          <w:rPr>
            <w:rFonts w:ascii="Cambria Math" w:hAnsi="Cambria Math" w:cs="Arial"/>
            <w:sz w:val="22"/>
          </w:rPr>
          <m:t>)</m:t>
        </m:r>
      </m:oMath>
      <w:r w:rsidRPr="00746F54">
        <w:rPr>
          <w:rFonts w:ascii="Arial" w:hAnsi="Arial" w:cs="Arial"/>
          <w:sz w:val="22"/>
        </w:rPr>
        <w:t>, as follows:</w:t>
      </w:r>
    </w:p>
    <w:p w14:paraId="615E3858" w14:textId="77777777" w:rsidR="004D29D1" w:rsidRPr="00746F54" w:rsidRDefault="00737CD1" w:rsidP="004D29D1">
      <w:pPr>
        <w:pStyle w:val="Equation"/>
        <w:spacing w:line="360" w:lineRule="auto"/>
        <w:rPr>
          <w:rFonts w:ascii="Arial" w:hAnsi="Arial" w:cs="Arial"/>
          <w:sz w:val="22"/>
          <w:szCs w:val="22"/>
        </w:rPr>
      </w:pPr>
      <m:oMathPara>
        <m:oMath>
          <m:sSub>
            <m:sSubPr>
              <m:ctrlPr>
                <w:rPr>
                  <w:rFonts w:ascii="Cambria Math" w:hAnsi="Cambria Math" w:cs="Arial"/>
                  <w:sz w:val="22"/>
                  <w:szCs w:val="22"/>
                </w:rPr>
              </m:ctrlPr>
            </m:sSubPr>
            <m:e>
              <m:acc>
                <m:accPr>
                  <m:chr m:val="̅"/>
                  <m:ctrlPr>
                    <w:rPr>
                      <w:rFonts w:ascii="Cambria Math" w:hAnsi="Cambria Math" w:cs="Arial"/>
                      <w:sz w:val="22"/>
                      <w:szCs w:val="22"/>
                    </w:rPr>
                  </m:ctrlPr>
                </m:accPr>
                <m:e>
                  <m:r>
                    <w:rPr>
                      <w:rFonts w:ascii="Cambria Math" w:hAnsi="Cambria Math" w:cs="Arial"/>
                      <w:sz w:val="22"/>
                      <w:szCs w:val="22"/>
                    </w:rPr>
                    <m:t>T</m:t>
                  </m:r>
                </m:e>
              </m:acc>
            </m:e>
            <m:sub>
              <m:r>
                <w:rPr>
                  <w:rFonts w:ascii="Cambria Math" w:hAnsi="Cambria Math" w:cs="Arial"/>
                  <w:sz w:val="22"/>
                  <w:szCs w:val="22"/>
                </w:rPr>
                <m:t>j</m:t>
              </m:r>
              <m:r>
                <m:rPr>
                  <m:sty m:val="p"/>
                </m:rPr>
                <w:rPr>
                  <w:rFonts w:ascii="Cambria Math" w:hAnsi="Cambria Math" w:cs="Arial"/>
                  <w:sz w:val="22"/>
                  <w:szCs w:val="22"/>
                </w:rPr>
                <m:t>,</m:t>
              </m:r>
              <m:r>
                <w:rPr>
                  <w:rFonts w:ascii="Cambria Math" w:hAnsi="Cambria Math" w:cs="Arial"/>
                  <w:sz w:val="22"/>
                  <w:szCs w:val="22"/>
                </w:rPr>
                <m:t>t</m:t>
              </m:r>
            </m:sub>
          </m:sSub>
          <m:r>
            <m:rPr>
              <m:sty m:val="p"/>
            </m:rPr>
            <w:rPr>
              <w:rFonts w:ascii="Cambria Math" w:hAnsi="Cambria Math" w:cs="Arial"/>
              <w:sz w:val="22"/>
              <w:szCs w:val="22"/>
            </w:rPr>
            <m:t>=</m:t>
          </m:r>
          <m:sSubSup>
            <m:sSubSupPr>
              <m:ctrlPr>
                <w:rPr>
                  <w:rFonts w:ascii="Cambria Math" w:hAnsi="Cambria Math" w:cs="Arial"/>
                  <w:i/>
                  <w:sz w:val="22"/>
                  <w:szCs w:val="22"/>
                </w:rPr>
              </m:ctrlPr>
            </m:sSubSupPr>
            <m:e>
              <m:r>
                <w:rPr>
                  <w:rFonts w:ascii="Cambria Math" w:hAnsi="Cambria Math" w:cs="Arial"/>
                  <w:sz w:val="22"/>
                  <w:szCs w:val="22"/>
                </w:rPr>
                <m:t>T</m:t>
              </m:r>
            </m:e>
            <m:sub>
              <m:r>
                <w:rPr>
                  <w:rFonts w:ascii="Cambria Math" w:hAnsi="Cambria Math" w:cs="Arial"/>
                  <w:sz w:val="22"/>
                  <w:szCs w:val="22"/>
                </w:rPr>
                <m:t>j,t</m:t>
              </m:r>
            </m:sub>
            <m:sup>
              <m:r>
                <w:rPr>
                  <w:rFonts w:ascii="Cambria Math" w:hAnsi="Cambria Math" w:cs="Arial"/>
                  <w:sz w:val="22"/>
                  <w:szCs w:val="22"/>
                </w:rPr>
                <m:t>(RSE)</m:t>
              </m:r>
            </m:sup>
          </m:sSubSup>
          <m:r>
            <w:rPr>
              <w:rFonts w:ascii="Cambria Math" w:hAnsi="Cambria Math" w:cs="Arial"/>
              <w:sz w:val="22"/>
              <w:szCs w:val="22"/>
            </w:rPr>
            <m:t>,∀j∈EDAM∧t=1,2,…,T</m:t>
          </m:r>
        </m:oMath>
      </m:oMathPara>
    </w:p>
    <w:p w14:paraId="76A460D5" w14:textId="77777777" w:rsidR="004D29D1" w:rsidRPr="00746F54" w:rsidRDefault="004D29D1" w:rsidP="004D29D1">
      <w:pPr>
        <w:pStyle w:val="Paragraph"/>
        <w:spacing w:line="360" w:lineRule="auto"/>
        <w:rPr>
          <w:rFonts w:ascii="Arial" w:hAnsi="Arial" w:cs="Arial"/>
          <w:sz w:val="22"/>
        </w:rPr>
      </w:pPr>
      <w:r w:rsidRPr="00746F54">
        <w:rPr>
          <w:rFonts w:ascii="Arial" w:hAnsi="Arial" w:cs="Arial"/>
          <w:sz w:val="22"/>
        </w:rPr>
        <w:lastRenderedPageBreak/>
        <w:t>Similar imbalance reserve balance relaxation constraints are not required in the IRU/IRD deployment scenarios because of the economic relaxation of the IRU/IRD requirements provided by the IRU/IRD surplus.</w:t>
      </w:r>
    </w:p>
    <w:p w14:paraId="1B23B58E" w14:textId="77777777" w:rsidR="004D29D1" w:rsidRPr="00746F54" w:rsidRDefault="004D29D1" w:rsidP="004D29D1">
      <w:pPr>
        <w:rPr>
          <w:rFonts w:ascii="Arial" w:hAnsi="Arial" w:cs="Arial"/>
        </w:rPr>
      </w:pPr>
    </w:p>
    <w:p w14:paraId="43F8CAE6" w14:textId="77777777" w:rsidR="004D29D1" w:rsidRPr="00746F54" w:rsidRDefault="004D29D1" w:rsidP="004D29D1">
      <w:pPr>
        <w:pStyle w:val="Heading3"/>
        <w:rPr>
          <w:rFonts w:ascii="Arial" w:hAnsi="Arial" w:cs="Arial"/>
        </w:rPr>
      </w:pPr>
      <w:bookmarkStart w:id="157" w:name="_Toc176969887"/>
      <w:bookmarkStart w:id="158" w:name="_Toc211337929"/>
      <w:r w:rsidRPr="00746F54">
        <w:rPr>
          <w:rFonts w:ascii="Arial" w:hAnsi="Arial" w:cs="Arial"/>
        </w:rPr>
        <w:t>Power Balance Relaxation Constraints in the RUC</w:t>
      </w:r>
      <w:bookmarkEnd w:id="157"/>
      <w:bookmarkEnd w:id="158"/>
    </w:p>
    <w:p w14:paraId="3A8CA9E1" w14:textId="77777777" w:rsidR="004D29D1" w:rsidRPr="00746F54" w:rsidRDefault="004D29D1" w:rsidP="004D29D1">
      <w:pPr>
        <w:spacing w:line="360" w:lineRule="auto"/>
        <w:rPr>
          <w:rFonts w:ascii="Arial" w:hAnsi="Arial" w:cs="Arial"/>
        </w:rPr>
      </w:pPr>
      <w:r w:rsidRPr="00746F54">
        <w:rPr>
          <w:rFonts w:ascii="Arial" w:hAnsi="Arial" w:cs="Arial"/>
        </w:rPr>
        <w:t>In RUC, IRU and IRD awards are fixed and therefore not relaxed. The RCU/RCD can be relaxed and are part of the PBC constraint that includes fixed energy awards that are fixed from the IFM pass.  More specifically:</w:t>
      </w:r>
    </w:p>
    <w:p w14:paraId="415DEBCA" w14:textId="77777777" w:rsidR="004D29D1" w:rsidRPr="00746F54" w:rsidRDefault="004D29D1" w:rsidP="004D29D1">
      <w:pPr>
        <w:spacing w:line="360" w:lineRule="auto"/>
        <w:rPr>
          <w:rFonts w:ascii="Arial" w:hAnsi="Arial" w:cs="Arial"/>
        </w:rPr>
      </w:pPr>
      <w:r w:rsidRPr="00746F54">
        <w:rPr>
          <w:rFonts w:ascii="Arial" w:hAnsi="Arial" w:cs="Arial"/>
        </w:rPr>
        <w:t>The EDAM BAA power balance constraints in the RUC can be relaxed at a penalty by including reliability capacity shortfall and surplus variables as follows:</w:t>
      </w:r>
    </w:p>
    <w:p w14:paraId="4B2B700F" w14:textId="77777777" w:rsidR="004D29D1" w:rsidRPr="00746F54" w:rsidRDefault="00737CD1" w:rsidP="004D29D1">
      <w:pPr>
        <w:spacing w:line="360" w:lineRule="auto"/>
        <w:rPr>
          <w:rFonts w:ascii="Arial" w:hAnsi="Arial" w:cs="Arial"/>
        </w:rPr>
      </w:pPr>
      <m:oMathPara>
        <m:oMath>
          <m:nary>
            <m:naryPr>
              <m:chr m:val="∑"/>
              <m:limLoc m:val="undOvr"/>
              <m:supHide m:val="1"/>
              <m:ctrlPr>
                <w:rPr>
                  <w:rFonts w:ascii="Cambria Math" w:hAnsi="Cambria Math" w:cs="Arial"/>
                  <w:i/>
                  <w:iCs/>
                  <w:sz w:val="24"/>
                  <w:szCs w:val="24"/>
                  <w14:ligatures w14:val="standardContextual"/>
                </w:rPr>
              </m:ctrlPr>
            </m:naryPr>
            <m:sub>
              <m:r>
                <w:rPr>
                  <w:rFonts w:ascii="Cambria Math" w:hAnsi="Cambria Math" w:cs="Arial"/>
                </w:rPr>
                <m:t>i∈</m:t>
              </m:r>
              <m:sSub>
                <m:sSubPr>
                  <m:ctrlPr>
                    <w:rPr>
                      <w:rFonts w:ascii="Cambria Math" w:hAnsi="Cambria Math" w:cs="Arial"/>
                      <w:i/>
                      <w:iCs/>
                      <w:sz w:val="24"/>
                      <w:szCs w:val="24"/>
                      <w14:ligatures w14:val="standardContextual"/>
                    </w:rPr>
                  </m:ctrlPr>
                </m:sSubPr>
                <m:e>
                  <m:r>
                    <w:rPr>
                      <w:rFonts w:ascii="Cambria Math" w:hAnsi="Cambria Math" w:cs="Arial"/>
                    </w:rPr>
                    <m:t>BAA</m:t>
                  </m:r>
                </m:e>
                <m:sub>
                  <m:r>
                    <w:rPr>
                      <w:rFonts w:ascii="Cambria Math" w:hAnsi="Cambria Math" w:cs="Arial"/>
                    </w:rPr>
                    <m:t>j</m:t>
                  </m:r>
                </m:sub>
              </m:sSub>
            </m:sub>
            <m:sup/>
            <m:e>
              <m:f>
                <m:fPr>
                  <m:ctrlPr>
                    <w:rPr>
                      <w:rFonts w:ascii="Cambria Math" w:hAnsi="Cambria Math" w:cs="Arial"/>
                      <w:i/>
                      <w:iCs/>
                      <w:sz w:val="24"/>
                      <w:szCs w:val="24"/>
                      <w14:ligatures w14:val="standardContextual"/>
                    </w:rPr>
                  </m:ctrlPr>
                </m:fPr>
                <m:num>
                  <m:d>
                    <m:dPr>
                      <m:ctrlPr>
                        <w:rPr>
                          <w:rFonts w:ascii="Cambria Math" w:hAnsi="Cambria Math" w:cs="Arial"/>
                          <w:i/>
                          <w:iCs/>
                          <w:sz w:val="24"/>
                          <w:szCs w:val="24"/>
                          <w14:ligatures w14:val="standardContextual"/>
                        </w:rPr>
                      </m:ctrlPr>
                    </m:dPr>
                    <m:e>
                      <m:r>
                        <w:rPr>
                          <w:rFonts w:ascii="Cambria Math" w:hAnsi="Cambria Math" w:cs="Arial"/>
                        </w:rPr>
                        <m:t>∆</m:t>
                      </m:r>
                      <m:sSub>
                        <m:sSubPr>
                          <m:ctrlPr>
                            <w:rPr>
                              <w:rFonts w:ascii="Cambria Math" w:hAnsi="Cambria Math" w:cs="Arial"/>
                              <w:i/>
                              <w:iCs/>
                              <w:sz w:val="24"/>
                              <w:szCs w:val="24"/>
                              <w14:ligatures w14:val="standardContextual"/>
                            </w:rPr>
                          </m:ctrlPr>
                        </m:sSubPr>
                        <m:e>
                          <m:r>
                            <w:rPr>
                              <w:rFonts w:ascii="Cambria Math" w:hAnsi="Cambria Math" w:cs="Arial"/>
                            </w:rPr>
                            <m:t>RCU</m:t>
                          </m:r>
                        </m:e>
                        <m:sub>
                          <m:r>
                            <w:rPr>
                              <w:rFonts w:ascii="Cambria Math" w:hAnsi="Cambria Math" w:cs="Arial"/>
                            </w:rPr>
                            <m:t>i,t</m:t>
                          </m:r>
                        </m:sub>
                      </m:sSub>
                      <m:r>
                        <w:rPr>
                          <w:rFonts w:ascii="Cambria Math" w:hAnsi="Cambria Math" w:cs="Arial"/>
                        </w:rPr>
                        <m:t>-</m:t>
                      </m:r>
                      <m:sSub>
                        <m:sSubPr>
                          <m:ctrlPr>
                            <w:rPr>
                              <w:rFonts w:ascii="Cambria Math" w:hAnsi="Cambria Math" w:cs="Arial"/>
                              <w:i/>
                              <w:iCs/>
                              <w:sz w:val="24"/>
                              <w:szCs w:val="24"/>
                              <w14:ligatures w14:val="standardContextual"/>
                            </w:rPr>
                          </m:ctrlPr>
                        </m:sSubPr>
                        <m:e>
                          <m:r>
                            <w:rPr>
                              <w:rFonts w:ascii="Cambria Math" w:hAnsi="Cambria Math" w:cs="Arial"/>
                            </w:rPr>
                            <m:t>∆RCD</m:t>
                          </m:r>
                        </m:e>
                        <m:sub>
                          <m:r>
                            <w:rPr>
                              <w:rFonts w:ascii="Cambria Math" w:hAnsi="Cambria Math" w:cs="Arial"/>
                            </w:rPr>
                            <m:t>i,t</m:t>
                          </m:r>
                        </m:sub>
                      </m:sSub>
                    </m:e>
                  </m:d>
                </m:num>
                <m:den>
                  <m:sSubSup>
                    <m:sSubSupPr>
                      <m:ctrlPr>
                        <w:rPr>
                          <w:rFonts w:ascii="Cambria Math" w:hAnsi="Cambria Math" w:cs="Arial"/>
                          <w:i/>
                          <w:iCs/>
                          <w:sz w:val="24"/>
                          <w:szCs w:val="24"/>
                          <w14:ligatures w14:val="standardContextual"/>
                        </w:rPr>
                      </m:ctrlPr>
                    </m:sSubSupPr>
                    <m:e>
                      <m:r>
                        <w:rPr>
                          <w:rFonts w:ascii="Cambria Math" w:hAnsi="Cambria Math" w:cs="Arial"/>
                        </w:rPr>
                        <m:t>LPF</m:t>
                      </m:r>
                    </m:e>
                    <m:sub>
                      <m:r>
                        <w:rPr>
                          <w:rFonts w:ascii="Cambria Math" w:hAnsi="Cambria Math" w:cs="Arial"/>
                        </w:rPr>
                        <m:t>i,t</m:t>
                      </m:r>
                    </m:sub>
                    <m:sup>
                      <m:r>
                        <w:rPr>
                          <w:rFonts w:ascii="Cambria Math" w:hAnsi="Cambria Math" w:cs="Arial"/>
                        </w:rPr>
                        <m:t>(RUC)</m:t>
                      </m:r>
                    </m:sup>
                  </m:sSubSup>
                </m:den>
              </m:f>
            </m:e>
          </m:nary>
          <m:r>
            <w:rPr>
              <w:rFonts w:ascii="Cambria Math" w:hAnsi="Cambria Math" w:cs="Arial"/>
            </w:rPr>
            <m:t>+∆</m:t>
          </m:r>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(RCU)</m:t>
              </m:r>
            </m:sup>
          </m:sSubSup>
          <m:r>
            <w:rPr>
              <w:rFonts w:ascii="Cambria Math" w:hAnsi="Cambria Math" w:cs="Arial"/>
            </w:rPr>
            <m:t>+</m:t>
          </m:r>
          <m:sSub>
            <m:sSubPr>
              <m:ctrlPr>
                <w:rPr>
                  <w:rFonts w:ascii="Cambria Math" w:hAnsi="Cambria Math" w:cs="Arial"/>
                  <w:i/>
                  <w:iCs/>
                  <w:sz w:val="24"/>
                  <w:szCs w:val="24"/>
                  <w14:ligatures w14:val="standardContextual"/>
                </w:rPr>
              </m:ctrlPr>
            </m:sSubPr>
            <m:e>
              <m:r>
                <w:rPr>
                  <w:rFonts w:ascii="Cambria Math" w:hAnsi="Cambria Math" w:cs="Arial"/>
                </w:rPr>
                <m:t>RCUS</m:t>
              </m:r>
            </m:e>
            <m:sub>
              <m:r>
                <w:rPr>
                  <w:rFonts w:ascii="Cambria Math" w:hAnsi="Cambria Math" w:cs="Arial"/>
                </w:rPr>
                <m:t>j,t</m:t>
              </m:r>
            </m:sub>
          </m:sSub>
          <m:r>
            <w:rPr>
              <w:rFonts w:ascii="Cambria Math" w:hAnsi="Cambria Math" w:cs="Arial"/>
            </w:rPr>
            <m:t>-</m:t>
          </m:r>
          <m:sSub>
            <m:sSubPr>
              <m:ctrlPr>
                <w:rPr>
                  <w:rFonts w:ascii="Cambria Math" w:hAnsi="Cambria Math" w:cs="Arial"/>
                  <w:i/>
                  <w:iCs/>
                  <w:sz w:val="24"/>
                  <w:szCs w:val="24"/>
                  <w14:ligatures w14:val="standardContextual"/>
                </w:rPr>
              </m:ctrlPr>
            </m:sSubPr>
            <m:e>
              <m:r>
                <w:rPr>
                  <w:rFonts w:ascii="Cambria Math" w:hAnsi="Cambria Math" w:cs="Arial"/>
                </w:rPr>
                <m:t>RCDS</m:t>
              </m:r>
            </m:e>
            <m:sub>
              <m:r>
                <w:rPr>
                  <w:rFonts w:ascii="Cambria Math" w:hAnsi="Cambria Math" w:cs="Arial"/>
                </w:rPr>
                <m:t>j,t</m:t>
              </m:r>
            </m:sub>
          </m:sSub>
          <m:r>
            <w:rPr>
              <w:rFonts w:ascii="Cambria Math" w:hAnsi="Cambria Math" w:cs="Arial"/>
            </w:rPr>
            <m:t>=0,∀j∈EDAM∧t=1,2,…,T</m:t>
          </m:r>
        </m:oMath>
      </m:oMathPara>
    </w:p>
    <w:p w14:paraId="5C76DAD2" w14:textId="77777777" w:rsidR="004D29D1" w:rsidRPr="00746F54" w:rsidRDefault="004D29D1" w:rsidP="004D29D1">
      <w:pPr>
        <w:spacing w:line="360" w:lineRule="auto"/>
        <w:rPr>
          <w:rFonts w:ascii="Arial" w:hAnsi="Arial" w:cs="Arial"/>
        </w:rPr>
      </w:pPr>
      <w:r w:rsidRPr="00746F54">
        <w:rPr>
          <w:rFonts w:ascii="Arial" w:hAnsi="Arial" w:cs="Arial"/>
        </w:rPr>
        <w:t>Where the reliability capacity shortfall (</w:t>
      </w:r>
      <w:r w:rsidRPr="00746F54">
        <w:rPr>
          <w:rFonts w:ascii="Arial" w:hAnsi="Arial" w:cs="Arial"/>
          <w:i/>
          <w:iCs/>
        </w:rPr>
        <w:t>RCUS</w:t>
      </w:r>
      <w:r w:rsidRPr="00746F54">
        <w:rPr>
          <w:rFonts w:ascii="Arial" w:hAnsi="Arial" w:cs="Arial"/>
        </w:rPr>
        <w:t>) and surplus (</w:t>
      </w:r>
      <w:r w:rsidRPr="00746F54">
        <w:rPr>
          <w:rFonts w:ascii="Arial" w:hAnsi="Arial" w:cs="Arial"/>
          <w:i/>
          <w:iCs/>
        </w:rPr>
        <w:t>RCDS</w:t>
      </w:r>
      <w:r w:rsidRPr="00746F54">
        <w:rPr>
          <w:rFonts w:ascii="Arial" w:hAnsi="Arial" w:cs="Arial"/>
        </w:rPr>
        <w:t>) variables are assigned penalty costs in the objective function. To prevent transfers causing a power balance constraint relaxation in an EDAM BAA, the following constraints are enforced in the RUC:</w:t>
      </w:r>
    </w:p>
    <w:p w14:paraId="56B58F4B" w14:textId="77777777" w:rsidR="004D29D1" w:rsidRPr="00746F54" w:rsidRDefault="00737CD1" w:rsidP="004D29D1">
      <w:pPr>
        <w:spacing w:line="360" w:lineRule="auto"/>
        <w:rPr>
          <w:rFonts w:ascii="Arial" w:hAnsi="Arial" w:cs="Arial"/>
        </w:rPr>
      </w:pPr>
      <m:oMathPara>
        <m:oMath>
          <m:d>
            <m:dPr>
              <m:begChr m:val=""/>
              <m:endChr m:val="}"/>
              <m:ctrlPr>
                <w:rPr>
                  <w:rFonts w:ascii="Cambria Math" w:hAnsi="Cambria Math" w:cs="Arial"/>
                  <w:sz w:val="24"/>
                  <w:szCs w:val="24"/>
                  <w14:ligatures w14:val="standardContextual"/>
                </w:rPr>
              </m:ctrlPr>
            </m:dPr>
            <m:e>
              <m:m>
                <m:mPr>
                  <m:mcs>
                    <m:mc>
                      <m:mcPr>
                        <m:count m:val="1"/>
                        <m:mcJc m:val="center"/>
                      </m:mcPr>
                    </m:mc>
                  </m:mcs>
                  <m:ctrlPr>
                    <w:rPr>
                      <w:rFonts w:ascii="Cambria Math" w:hAnsi="Cambria Math" w:cs="Arial"/>
                      <w:i/>
                      <w:iCs/>
                      <w:sz w:val="24"/>
                      <w:szCs w:val="24"/>
                      <w14:ligatures w14:val="standardContextual"/>
                    </w:rPr>
                  </m:ctrlPr>
                </m:mPr>
                <m:mr>
                  <m:e>
                    <m:sSub>
                      <m:sSubPr>
                        <m:ctrlPr>
                          <w:rPr>
                            <w:rFonts w:ascii="Cambria Math" w:hAnsi="Cambria Math" w:cs="Arial"/>
                            <w:i/>
                            <w:iCs/>
                            <w:sz w:val="24"/>
                            <w:szCs w:val="24"/>
                            <w14:ligatures w14:val="standardContextual"/>
                          </w:rPr>
                        </m:ctrlPr>
                      </m:sSubPr>
                      <m:e>
                        <m:r>
                          <w:rPr>
                            <w:rFonts w:ascii="Cambria Math" w:hAnsi="Cambria Math" w:cs="Arial"/>
                          </w:rPr>
                          <m:t>RCUS</m:t>
                        </m:r>
                      </m:e>
                      <m:sub>
                        <m:r>
                          <w:rPr>
                            <w:rFonts w:ascii="Cambria Math" w:hAnsi="Cambria Math" w:cs="Arial"/>
                          </w:rPr>
                          <m:t>j,t</m:t>
                        </m:r>
                      </m:sub>
                    </m:sSub>
                    <m:r>
                      <w:rPr>
                        <w:rFonts w:ascii="Cambria Math" w:hAnsi="Cambria Math" w:cs="Arial"/>
                      </w:rPr>
                      <m:t xml:space="preserve"> </m:t>
                    </m:r>
                    <m:d>
                      <m:dPr>
                        <m:ctrlPr>
                          <w:rPr>
                            <w:rFonts w:ascii="Cambria Math" w:hAnsi="Cambria Math" w:cs="Arial"/>
                            <w:i/>
                            <w:iCs/>
                            <w:sz w:val="24"/>
                            <w:szCs w:val="24"/>
                            <w14:ligatures w14:val="standardContextual"/>
                          </w:rPr>
                        </m:ctrlPr>
                      </m:dPr>
                      <m:e>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(RCU)</m:t>
                            </m:r>
                          </m:sup>
                        </m:sSubSup>
                        <m:r>
                          <w:rPr>
                            <w:rFonts w:ascii="Cambria Math" w:hAnsi="Cambria Math" w:cs="Arial"/>
                          </w:rPr>
                          <m:t>-</m:t>
                        </m:r>
                        <m:sSub>
                          <m:sSubPr>
                            <m:ctrlPr>
                              <w:rPr>
                                <w:rFonts w:ascii="Cambria Math" w:hAnsi="Cambria Math" w:cs="Arial"/>
                                <w:i/>
                                <w:iCs/>
                                <w:sz w:val="24"/>
                                <w:szCs w:val="24"/>
                                <w14:ligatures w14:val="standardContextual"/>
                              </w:rPr>
                            </m:ctrlPr>
                          </m:sSubPr>
                          <m:e>
                            <m:acc>
                              <m:accPr>
                                <m:chr m:val="̅"/>
                                <m:ctrlPr>
                                  <w:rPr>
                                    <w:rFonts w:ascii="Cambria Math" w:hAnsi="Cambria Math" w:cs="Arial"/>
                                    <w:i/>
                                    <w:iCs/>
                                    <w:sz w:val="24"/>
                                    <w:szCs w:val="24"/>
                                    <w14:ligatures w14:val="standardContextual"/>
                                  </w:rPr>
                                </m:ctrlPr>
                              </m:accPr>
                              <m:e>
                                <m:r>
                                  <w:rPr>
                                    <w:rFonts w:ascii="Cambria Math" w:hAnsi="Cambria Math" w:cs="Arial"/>
                                  </w:rPr>
                                  <m:t>T</m:t>
                                </m:r>
                              </m:e>
                            </m:acc>
                          </m:e>
                          <m:sub>
                            <m:r>
                              <w:rPr>
                                <w:rFonts w:ascii="Cambria Math" w:hAnsi="Cambria Math" w:cs="Arial"/>
                              </w:rPr>
                              <m:t>j,t</m:t>
                            </m:r>
                          </m:sub>
                        </m:sSub>
                      </m:e>
                    </m:d>
                    <m:r>
                      <w:rPr>
                        <w:rFonts w:ascii="Cambria Math" w:hAnsi="Cambria Math" w:cs="Arial"/>
                      </w:rPr>
                      <m:t>≤0</m:t>
                    </m:r>
                  </m:e>
                </m:mr>
                <m:mr>
                  <m:e>
                    <m:sSub>
                      <m:sSubPr>
                        <m:ctrlPr>
                          <w:rPr>
                            <w:rFonts w:ascii="Cambria Math" w:hAnsi="Cambria Math" w:cs="Arial"/>
                            <w:i/>
                            <w:iCs/>
                            <w:sz w:val="24"/>
                            <w:szCs w:val="24"/>
                            <w14:ligatures w14:val="standardContextual"/>
                          </w:rPr>
                        </m:ctrlPr>
                      </m:sSubPr>
                      <m:e>
                        <m:r>
                          <w:rPr>
                            <w:rFonts w:ascii="Cambria Math" w:hAnsi="Cambria Math" w:cs="Arial"/>
                          </w:rPr>
                          <m:t>RCDS</m:t>
                        </m:r>
                      </m:e>
                      <m:sub>
                        <m:r>
                          <w:rPr>
                            <w:rFonts w:ascii="Cambria Math" w:hAnsi="Cambria Math" w:cs="Arial"/>
                          </w:rPr>
                          <m:t>j,t</m:t>
                        </m:r>
                      </m:sub>
                    </m:sSub>
                    <m:r>
                      <w:rPr>
                        <w:rFonts w:ascii="Cambria Math" w:hAnsi="Cambria Math" w:cs="Arial"/>
                      </w:rPr>
                      <m:t xml:space="preserve"> </m:t>
                    </m:r>
                    <m:d>
                      <m:dPr>
                        <m:ctrlPr>
                          <w:rPr>
                            <w:rFonts w:ascii="Cambria Math" w:hAnsi="Cambria Math" w:cs="Arial"/>
                            <w:i/>
                            <w:iCs/>
                            <w:sz w:val="24"/>
                            <w:szCs w:val="24"/>
                            <w14:ligatures w14:val="standardContextual"/>
                          </w:rPr>
                        </m:ctrlPr>
                      </m:dPr>
                      <m:e>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(RCU)</m:t>
                            </m:r>
                          </m:sup>
                        </m:sSubSup>
                        <m:r>
                          <w:rPr>
                            <w:rFonts w:ascii="Cambria Math" w:hAnsi="Cambria Math" w:cs="Arial"/>
                          </w:rPr>
                          <m:t>-</m:t>
                        </m:r>
                        <m:sSub>
                          <m:sSubPr>
                            <m:ctrlPr>
                              <w:rPr>
                                <w:rFonts w:ascii="Cambria Math" w:hAnsi="Cambria Math" w:cs="Arial"/>
                                <w:i/>
                                <w:iCs/>
                                <w:sz w:val="24"/>
                                <w:szCs w:val="24"/>
                                <w14:ligatures w14:val="standardContextual"/>
                              </w:rPr>
                            </m:ctrlPr>
                          </m:sSubPr>
                          <m:e>
                            <m:acc>
                              <m:accPr>
                                <m:chr m:val="̅"/>
                                <m:ctrlPr>
                                  <w:rPr>
                                    <w:rFonts w:ascii="Cambria Math" w:hAnsi="Cambria Math" w:cs="Arial"/>
                                    <w:i/>
                                    <w:iCs/>
                                    <w:sz w:val="24"/>
                                    <w:szCs w:val="24"/>
                                    <w14:ligatures w14:val="standardContextual"/>
                                  </w:rPr>
                                </m:ctrlPr>
                              </m:accPr>
                              <m:e>
                                <m:r>
                                  <w:rPr>
                                    <w:rFonts w:ascii="Cambria Math" w:hAnsi="Cambria Math" w:cs="Arial"/>
                                  </w:rPr>
                                  <m:t>T</m:t>
                                </m:r>
                              </m:e>
                            </m:acc>
                          </m:e>
                          <m:sub>
                            <m:r>
                              <w:rPr>
                                <w:rFonts w:ascii="Cambria Math" w:hAnsi="Cambria Math" w:cs="Arial"/>
                              </w:rPr>
                              <m:t>j,t</m:t>
                            </m:r>
                          </m:sub>
                        </m:sSub>
                      </m:e>
                    </m:d>
                    <m:r>
                      <w:rPr>
                        <w:rFonts w:ascii="Cambria Math" w:hAnsi="Cambria Math" w:cs="Arial"/>
                      </w:rPr>
                      <m:t>≥0</m:t>
                    </m:r>
                  </m:e>
                </m:mr>
              </m:m>
            </m:e>
          </m:d>
          <m:r>
            <w:rPr>
              <w:rFonts w:ascii="Cambria Math" w:hAnsi="Cambria Math" w:cs="Arial"/>
            </w:rPr>
            <m:t>,∀j∈EDAM∧t=1,2,…,T</m:t>
          </m:r>
        </m:oMath>
      </m:oMathPara>
    </w:p>
    <w:p w14:paraId="0E470465" w14:textId="77777777" w:rsidR="004D29D1" w:rsidRPr="00746F54" w:rsidRDefault="004D29D1" w:rsidP="004D29D1">
      <w:pPr>
        <w:spacing w:line="360" w:lineRule="auto"/>
        <w:rPr>
          <w:rFonts w:ascii="Arial" w:hAnsi="Arial" w:cs="Arial"/>
        </w:rPr>
      </w:pPr>
      <w:r w:rsidRPr="00746F54">
        <w:rPr>
          <w:rFonts w:ascii="Arial" w:hAnsi="Arial" w:cs="Arial"/>
        </w:rPr>
        <w:t>These constraints will not allow a net export reliability capacity transfer above a reference to cause power balance shortfall, or a net import reliability capacity transfer below a reference to cause power balance surplus. The net transfer reference includes the energy and IRU/IRD net transfers from the IFM, as follows:</w:t>
      </w:r>
    </w:p>
    <w:p w14:paraId="5580497E" w14:textId="77777777" w:rsidR="004D29D1" w:rsidRPr="00746F54" w:rsidRDefault="00737CD1" w:rsidP="004D29D1">
      <w:pPr>
        <w:spacing w:line="360" w:lineRule="auto"/>
        <w:rPr>
          <w:rFonts w:ascii="Arial" w:hAnsi="Arial" w:cs="Arial"/>
        </w:rPr>
      </w:pPr>
      <m:oMathPara>
        <m:oMath>
          <m:sSub>
            <m:sSubPr>
              <m:ctrlPr>
                <w:rPr>
                  <w:rFonts w:ascii="Cambria Math" w:hAnsi="Cambria Math" w:cs="Arial"/>
                  <w:sz w:val="24"/>
                  <w:szCs w:val="24"/>
                  <w14:ligatures w14:val="standardContextual"/>
                </w:rPr>
              </m:ctrlPr>
            </m:sSubPr>
            <m:e>
              <m:acc>
                <m:accPr>
                  <m:chr m:val="̅"/>
                  <m:ctrlPr>
                    <w:rPr>
                      <w:rFonts w:ascii="Cambria Math" w:hAnsi="Cambria Math" w:cs="Arial"/>
                      <w:sz w:val="24"/>
                      <w:szCs w:val="24"/>
                      <w14:ligatures w14:val="standardContextual"/>
                    </w:rPr>
                  </m:ctrlPr>
                </m:accPr>
                <m:e>
                  <m:r>
                    <w:rPr>
                      <w:rFonts w:ascii="Cambria Math" w:hAnsi="Cambria Math" w:cs="Arial"/>
                    </w:rPr>
                    <m:t>T</m:t>
                  </m:r>
                </m:e>
              </m:acc>
            </m:e>
            <m:sub>
              <m:r>
                <w:rPr>
                  <w:rFonts w:ascii="Cambria Math" w:hAnsi="Cambria Math" w:cs="Arial"/>
                </w:rPr>
                <m:t>j</m:t>
              </m:r>
              <m:r>
                <m:rPr>
                  <m:sty m:val="p"/>
                </m:rPr>
                <w:rPr>
                  <w:rFonts w:ascii="Cambria Math" w:hAnsi="Cambria Math" w:cs="Arial"/>
                </w:rPr>
                <m:t>,</m:t>
              </m:r>
              <m:r>
                <w:rPr>
                  <w:rFonts w:ascii="Cambria Math" w:hAnsi="Cambria Math" w:cs="Arial"/>
                </w:rPr>
                <m:t>t</m:t>
              </m:r>
            </m:sub>
          </m:sSub>
          <m:r>
            <m:rPr>
              <m:sty m:val="p"/>
            </m:rPr>
            <w:rPr>
              <w:rFonts w:ascii="Cambria Math" w:hAnsi="Cambria Math" w:cs="Arial"/>
            </w:rPr>
            <m:t>=</m:t>
          </m:r>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(RSE)</m:t>
              </m:r>
            </m:sup>
          </m:sSubSup>
          <m:r>
            <w:rPr>
              <w:rFonts w:ascii="Cambria Math" w:hAnsi="Cambria Math" w:cs="Arial"/>
            </w:rPr>
            <m:t>-</m:t>
          </m:r>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(EN)</m:t>
              </m:r>
            </m:sup>
          </m:sSubSup>
          <m:r>
            <m:rPr>
              <m:sty m:val="p"/>
            </m:rPr>
            <w:rPr>
              <w:rFonts w:ascii="Cambria Math" w:hAnsi="Cambria Math" w:cs="Arial"/>
            </w:rPr>
            <m:t>-</m:t>
          </m:r>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(IRU)</m:t>
              </m:r>
            </m:sup>
          </m:sSubSup>
          <m:r>
            <m:rPr>
              <m:sty m:val="p"/>
            </m:rPr>
            <w:rPr>
              <w:rFonts w:ascii="Cambria Math" w:hAnsi="Cambria Math" w:cs="Arial"/>
            </w:rPr>
            <m:t>+</m:t>
          </m:r>
          <m:sSubSup>
            <m:sSubSupPr>
              <m:ctrlPr>
                <w:rPr>
                  <w:rFonts w:ascii="Cambria Math" w:hAnsi="Cambria Math" w:cs="Arial"/>
                  <w:i/>
                  <w:iCs/>
                  <w:sz w:val="24"/>
                  <w:szCs w:val="24"/>
                  <w14:ligatures w14:val="standardContextual"/>
                </w:rPr>
              </m:ctrlPr>
            </m:sSubSupPr>
            <m:e>
              <m:r>
                <w:rPr>
                  <w:rFonts w:ascii="Cambria Math" w:hAnsi="Cambria Math" w:cs="Arial"/>
                </w:rPr>
                <m:t>T</m:t>
              </m:r>
            </m:e>
            <m:sub>
              <m:r>
                <w:rPr>
                  <w:rFonts w:ascii="Cambria Math" w:hAnsi="Cambria Math" w:cs="Arial"/>
                </w:rPr>
                <m:t>j,t</m:t>
              </m:r>
            </m:sub>
            <m:sup>
              <m:r>
                <w:rPr>
                  <w:rFonts w:ascii="Cambria Math" w:hAnsi="Cambria Math" w:cs="Arial"/>
                </w:rPr>
                <m:t>(IRD)</m:t>
              </m:r>
            </m:sup>
          </m:sSubSup>
          <m:r>
            <w:rPr>
              <w:rFonts w:ascii="Cambria Math" w:hAnsi="Cambria Math" w:cs="Arial"/>
            </w:rPr>
            <m:t>,∀j∈EDAM∧t=1,2,…,T</m:t>
          </m:r>
        </m:oMath>
      </m:oMathPara>
    </w:p>
    <w:p w14:paraId="35904675" w14:textId="77777777" w:rsidR="004D29D1" w:rsidRPr="00746F54" w:rsidRDefault="004D29D1" w:rsidP="004D29D1">
      <w:pPr>
        <w:spacing w:line="360" w:lineRule="auto"/>
        <w:rPr>
          <w:rFonts w:ascii="Arial" w:hAnsi="Arial" w:cs="Arial"/>
        </w:rPr>
      </w:pPr>
      <w:r w:rsidRPr="00746F54">
        <w:rPr>
          <w:rFonts w:ascii="Arial" w:hAnsi="Arial" w:cs="Arial"/>
        </w:rPr>
        <w:t>Where positive IRD transfers reserve transfer capacity in the import direction.</w:t>
      </w:r>
    </w:p>
    <w:p w14:paraId="0A7E1E58" w14:textId="78CF19E7" w:rsidR="00267FB1" w:rsidRPr="00746F54" w:rsidRDefault="00EF36A2" w:rsidP="00267FB1">
      <w:pPr>
        <w:pStyle w:val="Heading2"/>
        <w:rPr>
          <w:rFonts w:ascii="Arial" w:hAnsi="Arial" w:cs="Arial"/>
        </w:rPr>
      </w:pPr>
      <w:r w:rsidRPr="00746F54">
        <w:rPr>
          <w:rFonts w:ascii="Arial" w:hAnsi="Arial" w:cs="Arial"/>
        </w:rPr>
        <w:t xml:space="preserve"> </w:t>
      </w:r>
      <w:bookmarkStart w:id="159" w:name="_Toc211337930"/>
      <w:bookmarkStart w:id="160" w:name="_Toc228963718"/>
      <w:r w:rsidR="00267FB1" w:rsidRPr="00746F54">
        <w:rPr>
          <w:rFonts w:ascii="Arial" w:hAnsi="Arial" w:cs="Arial"/>
        </w:rPr>
        <w:t>Power Balance Constraint Relaxation</w:t>
      </w:r>
      <w:bookmarkEnd w:id="159"/>
      <w:bookmarkEnd w:id="160"/>
    </w:p>
    <w:p w14:paraId="277EC4CB" w14:textId="3B734965" w:rsidR="00267FB1" w:rsidRPr="00746F54" w:rsidRDefault="00267FB1" w:rsidP="004D29D1">
      <w:pPr>
        <w:spacing w:line="360" w:lineRule="auto"/>
        <w:rPr>
          <w:rFonts w:ascii="Arial" w:hAnsi="Arial" w:cs="Arial"/>
          <w:u w:val="single"/>
        </w:rPr>
      </w:pPr>
      <w:r w:rsidRPr="00746F54">
        <w:rPr>
          <w:rFonts w:ascii="Arial" w:hAnsi="Arial" w:cs="Arial"/>
          <w:u w:val="single"/>
        </w:rPr>
        <w:t>Reference tariff section 33.27.5</w:t>
      </w:r>
    </w:p>
    <w:p w14:paraId="783DA6C3" w14:textId="77777777" w:rsidR="00267FB1" w:rsidRPr="00746F54" w:rsidRDefault="00267FB1" w:rsidP="00267FB1">
      <w:pPr>
        <w:spacing w:after="240" w:line="300" w:lineRule="auto"/>
        <w:rPr>
          <w:rFonts w:ascii="Arial" w:eastAsia="Calibri" w:hAnsi="Arial" w:cs="Arial"/>
          <w:kern w:val="2"/>
          <w14:ligatures w14:val="standardContextual"/>
        </w:rPr>
      </w:pPr>
      <w:r w:rsidRPr="00746F54">
        <w:rPr>
          <w:rFonts w:ascii="Arial" w:eastAsia="Calibri" w:hAnsi="Arial" w:cs="Arial"/>
          <w:kern w:val="2"/>
          <w14:ligatures w14:val="standardContextual"/>
        </w:rPr>
        <w:lastRenderedPageBreak/>
        <w:t xml:space="preserve">Integrated Balancing Authority Areas (“IBAAs”) are those Balancing Authority Areas that are not part of the CAISO but are closely interconnected/integrated with the EDAM Full Network Model through multiple free-flowing AC interconnections.  While power flows on an IBAA’s system can result in parallel flows and otherwise more complex interactions with the EDAM solution, IBAAs do not apply to BAAs that join EDAM consistent with section 33.27.5 of the tariff.   </w:t>
      </w:r>
    </w:p>
    <w:p w14:paraId="42638444" w14:textId="1434AB56" w:rsidR="0074730E" w:rsidRPr="00746F54" w:rsidRDefault="00267FB1" w:rsidP="00B324A3">
      <w:pPr>
        <w:spacing w:after="240" w:line="300" w:lineRule="auto"/>
        <w:rPr>
          <w:rFonts w:ascii="Arial" w:hAnsi="Arial" w:cs="Arial"/>
        </w:rPr>
      </w:pPr>
      <w:r w:rsidRPr="00746F54">
        <w:rPr>
          <w:rFonts w:ascii="Arial" w:eastAsia="Calibri" w:hAnsi="Arial" w:cs="Arial"/>
          <w:kern w:val="2"/>
          <w14:ligatures w14:val="standardContextual"/>
        </w:rPr>
        <w:t>EDAM will model and capture the effect of power flows internal to the IBAAs’ systems in the same manner as WEIM by utilizing a network model to represent flows within the IBAA, adding market resources to the model of the IBAA, mapping the Intertie Schedules to System Resources, and using distribution factors to attribute schedules submitted at the intertie points.  For more information on IBAA’s, refer to the Balancing Authority Area section of the Market Operations BPM.</w:t>
      </w:r>
    </w:p>
    <w:p w14:paraId="1A6DD824" w14:textId="77777777" w:rsidR="00104037" w:rsidRPr="00746F54" w:rsidRDefault="00104037" w:rsidP="00104037">
      <w:pPr>
        <w:pStyle w:val="Heading1"/>
        <w:rPr>
          <w:rFonts w:ascii="Arial" w:hAnsi="Arial" w:cs="Arial"/>
        </w:rPr>
      </w:pPr>
      <w:bookmarkStart w:id="161" w:name="_Toc211337931"/>
      <w:bookmarkStart w:id="162" w:name="_Toc228963719"/>
      <w:r w:rsidRPr="00746F54">
        <w:rPr>
          <w:rFonts w:ascii="Arial" w:hAnsi="Arial" w:cs="Arial"/>
        </w:rPr>
        <w:t>Inter-SC Trades</w:t>
      </w:r>
      <w:bookmarkEnd w:id="161"/>
      <w:bookmarkEnd w:id="162"/>
    </w:p>
    <w:p w14:paraId="74EB5041" w14:textId="5E8D6B51" w:rsidR="00104037" w:rsidRPr="00746F54" w:rsidRDefault="00104037" w:rsidP="00104037">
      <w:pPr>
        <w:pStyle w:val="ParaText"/>
        <w:rPr>
          <w:rFonts w:ascii="Arial" w:hAnsi="Arial" w:cs="Arial"/>
          <w:u w:val="single"/>
        </w:rPr>
      </w:pPr>
      <w:r w:rsidRPr="00746F54">
        <w:rPr>
          <w:rFonts w:ascii="Arial" w:hAnsi="Arial" w:cs="Arial"/>
          <w:u w:val="single"/>
        </w:rPr>
        <w:t>Reference tariff sections 28 and 33.28.</w:t>
      </w:r>
    </w:p>
    <w:p w14:paraId="03099461" w14:textId="3BB99A8E" w:rsidR="00104037" w:rsidRPr="00746F54" w:rsidRDefault="00104037" w:rsidP="00104037">
      <w:pPr>
        <w:pStyle w:val="ParaText"/>
        <w:rPr>
          <w:rFonts w:ascii="Arial" w:hAnsi="Arial" w:cs="Arial"/>
        </w:rPr>
      </w:pPr>
      <w:r w:rsidRPr="00746F54">
        <w:rPr>
          <w:rFonts w:ascii="Arial" w:hAnsi="Arial" w:cs="Arial"/>
        </w:rPr>
        <w:t>Inter-SC trades are an optional market feature which scheduling coordinators can utilize to facilitate settlement of bilateral contracts between parties.</w:t>
      </w:r>
      <w:r w:rsidRPr="00746F54" w:rsidDel="00476D63">
        <w:rPr>
          <w:rFonts w:ascii="Arial" w:hAnsi="Arial" w:cs="Arial"/>
        </w:rPr>
        <w:t xml:space="preserve"> </w:t>
      </w:r>
      <w:r w:rsidRPr="00746F54">
        <w:rPr>
          <w:rFonts w:ascii="Arial" w:hAnsi="Arial" w:cs="Arial"/>
        </w:rPr>
        <w:t xml:space="preserve">The ISO facilitates Inter-SC trades of energy, ancillary services, and IFM Load Uplift Obligations.  Within WEIM and EDAM balancing areas, only inter-SC trades of energy are supported for the day-ahead and the real-time markets. Within the CAISO balancing area, inter-SC trades of energy, ancillary services, and IFM Load Uplift Obligations continue to be supported. </w:t>
      </w:r>
      <w:r w:rsidR="00776EBF" w:rsidRPr="00746F54">
        <w:rPr>
          <w:rFonts w:ascii="Arial" w:hAnsi="Arial" w:cs="Arial"/>
        </w:rPr>
        <w:t xml:space="preserve">For procedures and processes for submission of inter-SC trades of energy in WEIM and EDAM, please refer to the Market Instruments BPM and corresponding sections 28 and 33.28 of the Tariff.  Note that CAISO tariff support for inter-SC trades in WEIM and EDAM may have a later effective date than EDAM launch.     </w:t>
      </w:r>
    </w:p>
    <w:p w14:paraId="51E5266C" w14:textId="16A841DF" w:rsidR="00930BA2" w:rsidRPr="0097362D" w:rsidRDefault="00930BA2" w:rsidP="0097362D">
      <w:pPr>
        <w:pStyle w:val="Heading1"/>
      </w:pPr>
      <w:bookmarkStart w:id="163" w:name="_Toc211337932"/>
      <w:bookmarkStart w:id="164" w:name="_Toc228963720"/>
      <w:r w:rsidRPr="0097362D">
        <w:t>Bids and Self Schedule Submission</w:t>
      </w:r>
      <w:bookmarkEnd w:id="163"/>
      <w:bookmarkEnd w:id="164"/>
      <w:r w:rsidRPr="0097362D">
        <w:t xml:space="preserve"> </w:t>
      </w:r>
    </w:p>
    <w:p w14:paraId="5EFFE289" w14:textId="1B69F8C8" w:rsidR="00930BA2" w:rsidRPr="00746F54" w:rsidRDefault="00930BA2" w:rsidP="00930BA2">
      <w:pPr>
        <w:pStyle w:val="ParaText"/>
        <w:spacing w:line="360" w:lineRule="auto"/>
        <w:rPr>
          <w:rFonts w:ascii="Arial" w:hAnsi="Arial" w:cs="Arial"/>
        </w:rPr>
      </w:pPr>
      <w:r w:rsidRPr="00746F54">
        <w:rPr>
          <w:rFonts w:ascii="Arial" w:hAnsi="Arial" w:cs="Arial"/>
          <w:u w:val="single"/>
        </w:rPr>
        <w:t>Reference</w:t>
      </w:r>
      <w:r w:rsidR="00E73BFD" w:rsidRPr="00746F54">
        <w:rPr>
          <w:rFonts w:ascii="Arial" w:hAnsi="Arial" w:cs="Arial"/>
          <w:u w:val="single"/>
        </w:rPr>
        <w:t xml:space="preserve"> tariff</w:t>
      </w:r>
      <w:r w:rsidRPr="00746F54">
        <w:rPr>
          <w:rFonts w:ascii="Arial" w:hAnsi="Arial" w:cs="Arial"/>
          <w:u w:val="single"/>
        </w:rPr>
        <w:t xml:space="preserve"> </w:t>
      </w:r>
      <w:r w:rsidR="00E73BFD" w:rsidRPr="00746F54">
        <w:rPr>
          <w:rFonts w:ascii="Arial" w:hAnsi="Arial" w:cs="Arial"/>
          <w:u w:val="single"/>
        </w:rPr>
        <w:t>s</w:t>
      </w:r>
      <w:r w:rsidRPr="00746F54">
        <w:rPr>
          <w:rFonts w:ascii="Arial" w:hAnsi="Arial" w:cs="Arial"/>
          <w:u w:val="single"/>
        </w:rPr>
        <w:t>ection 33.30</w:t>
      </w:r>
    </w:p>
    <w:p w14:paraId="19A291CA" w14:textId="2637F127" w:rsidR="00930BA2" w:rsidRPr="00746F54" w:rsidRDefault="00930BA2" w:rsidP="00930BA2">
      <w:pPr>
        <w:pStyle w:val="ParaText"/>
        <w:spacing w:line="360" w:lineRule="auto"/>
        <w:rPr>
          <w:rFonts w:ascii="Arial" w:hAnsi="Arial" w:cs="Arial"/>
        </w:rPr>
      </w:pPr>
      <w:r w:rsidRPr="00746F54">
        <w:rPr>
          <w:rFonts w:ascii="Arial" w:hAnsi="Arial" w:cs="Arial"/>
        </w:rPr>
        <w:t xml:space="preserve">Bids are submitted by EDAM entities for the Day-Ahead market.  SIBR processes bids through a series of validation rules.  A warning is issued from SIBR if the bid is not valid and the EDAM entity is given an opportunity to cancel the bid and resubmit the bid, time permitting.   After Market Close, SIBR creates clean bids, or generates bids (described in more detail in the BPM for Market Instruments, Section 8) in accordance with CAISO Market rules.  Clean bids and generated bids are pushed to the DAM market processes.  Additional </w:t>
      </w:r>
      <w:r w:rsidR="00C95132" w:rsidRPr="00746F54">
        <w:rPr>
          <w:rFonts w:ascii="Arial" w:hAnsi="Arial" w:cs="Arial"/>
        </w:rPr>
        <w:t>details</w:t>
      </w:r>
      <w:r w:rsidRPr="00746F54">
        <w:rPr>
          <w:rFonts w:ascii="Arial" w:hAnsi="Arial" w:cs="Arial"/>
        </w:rPr>
        <w:t xml:space="preserve"> regarding the bid </w:t>
      </w:r>
      <w:r w:rsidRPr="00746F54">
        <w:rPr>
          <w:rFonts w:ascii="Arial" w:hAnsi="Arial" w:cs="Arial"/>
        </w:rPr>
        <w:lastRenderedPageBreak/>
        <w:t xml:space="preserve">validation process </w:t>
      </w:r>
      <w:r w:rsidR="003F76EC" w:rsidRPr="00746F54">
        <w:rPr>
          <w:rFonts w:ascii="Arial" w:hAnsi="Arial" w:cs="Arial"/>
        </w:rPr>
        <w:t>are</w:t>
      </w:r>
      <w:r w:rsidRPr="00746F54">
        <w:rPr>
          <w:rFonts w:ascii="Arial" w:hAnsi="Arial" w:cs="Arial"/>
        </w:rPr>
        <w:t xml:space="preserve"> in the BPM for market instruments. These bid components are summarized as follows and are described further in the </w:t>
      </w:r>
      <w:r w:rsidRPr="00746F54">
        <w:rPr>
          <w:rFonts w:ascii="Arial" w:hAnsi="Arial" w:cs="Arial"/>
          <w:i/>
        </w:rPr>
        <w:t xml:space="preserve">BPM for Market Instruments, </w:t>
      </w:r>
      <w:r w:rsidRPr="00746F54">
        <w:rPr>
          <w:rFonts w:ascii="Arial" w:hAnsi="Arial" w:cs="Arial"/>
        </w:rPr>
        <w:t>Section 5:</w:t>
      </w:r>
    </w:p>
    <w:p w14:paraId="0CBFBB11" w14:textId="77777777" w:rsidR="00930BA2" w:rsidRPr="00746F54" w:rsidRDefault="00930BA2" w:rsidP="00930BA2">
      <w:pPr>
        <w:pStyle w:val="Bullet2HRt"/>
        <w:numPr>
          <w:ilvl w:val="0"/>
          <w:numId w:val="0"/>
        </w:numPr>
        <w:spacing w:line="360" w:lineRule="auto"/>
        <w:rPr>
          <w:rFonts w:ascii="Arial" w:hAnsi="Arial" w:cs="Arial"/>
          <w:b/>
        </w:rPr>
      </w:pPr>
      <w:r w:rsidRPr="00746F54">
        <w:rPr>
          <w:rFonts w:ascii="Arial" w:hAnsi="Arial" w:cs="Arial"/>
          <w:b/>
        </w:rPr>
        <w:t>Energy Bids (multi-segment)</w:t>
      </w:r>
      <w:r w:rsidRPr="00746F54">
        <w:rPr>
          <w:rFonts w:ascii="Arial" w:hAnsi="Arial" w:cs="Arial"/>
          <w:b/>
          <w:bCs/>
        </w:rPr>
        <w:t xml:space="preserve"> </w:t>
      </w:r>
    </w:p>
    <w:p w14:paraId="327835FF" w14:textId="77777777"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Three-part Energy Bids for Generating Resources (including Aggregate Generating Resources with specified Generation Distribution Factors). Three-part Energy Bids are also for logical generators that represent Participating Loads in association with fixed (i.e., Price Taker), non-conforming Load Schedules</w:t>
      </w:r>
    </w:p>
    <w:p w14:paraId="426CC63F" w14:textId="5EF37045" w:rsidR="00102E2A" w:rsidRPr="00746F54" w:rsidRDefault="00102E2A" w:rsidP="00930BA2">
      <w:pPr>
        <w:pStyle w:val="Bullet2HRt"/>
        <w:numPr>
          <w:ilvl w:val="0"/>
          <w:numId w:val="119"/>
        </w:numPr>
        <w:spacing w:line="360" w:lineRule="auto"/>
        <w:rPr>
          <w:rFonts w:ascii="Arial" w:hAnsi="Arial" w:cs="Arial"/>
        </w:rPr>
      </w:pPr>
      <w:r w:rsidRPr="00102E2A">
        <w:rPr>
          <w:rFonts w:ascii="Arial" w:hAnsi="Arial" w:cs="Arial"/>
        </w:rPr>
        <w:t xml:space="preserve">For </w:t>
      </w:r>
      <w:r w:rsidR="00C95132" w:rsidRPr="00102E2A">
        <w:rPr>
          <w:rFonts w:ascii="Arial" w:hAnsi="Arial" w:cs="Arial"/>
        </w:rPr>
        <w:t>an</w:t>
      </w:r>
      <w:r w:rsidRPr="00102E2A">
        <w:rPr>
          <w:rFonts w:ascii="Arial" w:hAnsi="Arial" w:cs="Arial"/>
        </w:rPr>
        <w:t xml:space="preserve"> MSG to transition from the “From” configuration to the “To” configuration in MPM-RUC and RUC, the RCU/RCD bids in the “To” configuration must cover the IFM award in "From" configuration to at least the </w:t>
      </w:r>
      <w:proofErr w:type="spellStart"/>
      <w:r w:rsidRPr="00102E2A">
        <w:rPr>
          <w:rFonts w:ascii="Arial" w:hAnsi="Arial" w:cs="Arial"/>
        </w:rPr>
        <w:t>pmin</w:t>
      </w:r>
      <w:proofErr w:type="spellEnd"/>
      <w:r w:rsidRPr="00102E2A">
        <w:rPr>
          <w:rFonts w:ascii="Arial" w:hAnsi="Arial" w:cs="Arial"/>
        </w:rPr>
        <w:t>/</w:t>
      </w:r>
      <w:proofErr w:type="spellStart"/>
      <w:r w:rsidRPr="00102E2A">
        <w:rPr>
          <w:rFonts w:ascii="Arial" w:hAnsi="Arial" w:cs="Arial"/>
        </w:rPr>
        <w:t>pmax</w:t>
      </w:r>
      <w:proofErr w:type="spellEnd"/>
      <w:r w:rsidRPr="00102E2A">
        <w:rPr>
          <w:rFonts w:ascii="Arial" w:hAnsi="Arial" w:cs="Arial"/>
        </w:rPr>
        <w:t xml:space="preserve"> of the "To" configuration, respectively.   </w:t>
      </w:r>
    </w:p>
    <w:p w14:paraId="48BC41AA" w14:textId="77777777"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One-part Energy Bids for non-Participating Loads (including aggregated Loads with specified Load Distribution Factors).  One-part Energy Bids for System Resources (imports and exports).</w:t>
      </w:r>
    </w:p>
    <w:p w14:paraId="527D1615" w14:textId="183106D1" w:rsidR="00BA2258" w:rsidRPr="00746F54" w:rsidRDefault="00BA2258" w:rsidP="00930BA2">
      <w:pPr>
        <w:pStyle w:val="Bullet2HRt"/>
        <w:numPr>
          <w:ilvl w:val="0"/>
          <w:numId w:val="0"/>
        </w:numPr>
        <w:spacing w:line="360" w:lineRule="auto"/>
        <w:rPr>
          <w:rFonts w:ascii="Arial" w:hAnsi="Arial" w:cs="Arial"/>
          <w:b/>
        </w:rPr>
      </w:pPr>
      <w:r w:rsidRPr="00746F54">
        <w:rPr>
          <w:rFonts w:ascii="Arial" w:hAnsi="Arial" w:cs="Arial"/>
          <w:b/>
        </w:rPr>
        <w:t>Demand Bids</w:t>
      </w:r>
    </w:p>
    <w:p w14:paraId="3E381720" w14:textId="4B3E1E24" w:rsidR="00BA2258" w:rsidRPr="00746F54" w:rsidRDefault="00BA2258" w:rsidP="00BA2258">
      <w:pPr>
        <w:pStyle w:val="Bullet2HRt"/>
        <w:numPr>
          <w:ilvl w:val="0"/>
          <w:numId w:val="135"/>
        </w:numPr>
        <w:spacing w:line="360" w:lineRule="auto"/>
        <w:rPr>
          <w:rFonts w:ascii="Arial" w:hAnsi="Arial" w:cs="Arial"/>
          <w:b/>
        </w:rPr>
      </w:pPr>
      <w:r w:rsidRPr="00746F54">
        <w:rPr>
          <w:rFonts w:ascii="Arial" w:hAnsi="Arial" w:cs="Arial"/>
        </w:rPr>
        <w:t>EDAM Entity Scheduling Coordinator and EDAM Load Serving Entity Scheduling Coordinator</w:t>
      </w:r>
      <w:r w:rsidR="00A31F51" w:rsidRPr="00746F54">
        <w:rPr>
          <w:rFonts w:ascii="Arial" w:hAnsi="Arial" w:cs="Arial"/>
        </w:rPr>
        <w:t xml:space="preserve"> may submit Demand Bids within the EDAM Entity balancing authority area.  </w:t>
      </w:r>
    </w:p>
    <w:p w14:paraId="0BAF5B78" w14:textId="59299F39" w:rsidR="00A31F51" w:rsidRPr="00746F54" w:rsidRDefault="00A31F51" w:rsidP="00BA2258">
      <w:pPr>
        <w:pStyle w:val="Bullet2HRt"/>
        <w:numPr>
          <w:ilvl w:val="0"/>
          <w:numId w:val="135"/>
        </w:numPr>
        <w:spacing w:line="360" w:lineRule="auto"/>
        <w:rPr>
          <w:rFonts w:ascii="Arial" w:hAnsi="Arial" w:cs="Arial"/>
          <w:b/>
        </w:rPr>
      </w:pPr>
      <w:r w:rsidRPr="00746F54">
        <w:rPr>
          <w:rFonts w:ascii="Arial" w:hAnsi="Arial" w:cs="Arial"/>
        </w:rPr>
        <w:t>The Scheduling Coordinators representing load may submit Day-Ahead economic bids or self-schedules indicating the hourly quantity of Energy in MWh that it intends to purchase in the IFM for each trading hour of the trading day.</w:t>
      </w:r>
    </w:p>
    <w:p w14:paraId="70C18F10" w14:textId="7E2E7131" w:rsidR="00A31F51" w:rsidRPr="00746F54" w:rsidRDefault="00A31F51" w:rsidP="00BA2258">
      <w:pPr>
        <w:pStyle w:val="Bullet2HRt"/>
        <w:numPr>
          <w:ilvl w:val="0"/>
          <w:numId w:val="135"/>
        </w:numPr>
        <w:spacing w:line="360" w:lineRule="auto"/>
        <w:rPr>
          <w:rFonts w:ascii="Arial" w:hAnsi="Arial" w:cs="Arial"/>
          <w:b/>
        </w:rPr>
      </w:pPr>
      <w:r w:rsidRPr="00746F54">
        <w:rPr>
          <w:rFonts w:ascii="Arial" w:hAnsi="Arial" w:cs="Arial"/>
        </w:rPr>
        <w:t>Common information provided in the Demand Bids is:</w:t>
      </w:r>
    </w:p>
    <w:p w14:paraId="14823352" w14:textId="1B249AC6" w:rsidR="00A31F51" w:rsidRPr="00746F54" w:rsidRDefault="00A31F51" w:rsidP="00A31F51">
      <w:pPr>
        <w:pStyle w:val="Bullet2HRt"/>
        <w:numPr>
          <w:ilvl w:val="1"/>
          <w:numId w:val="135"/>
        </w:numPr>
        <w:spacing w:line="360" w:lineRule="auto"/>
        <w:rPr>
          <w:rFonts w:ascii="Arial" w:hAnsi="Arial" w:cs="Arial"/>
          <w:b/>
        </w:rPr>
      </w:pPr>
      <w:r w:rsidRPr="00746F54">
        <w:rPr>
          <w:rFonts w:ascii="Arial" w:hAnsi="Arial" w:cs="Arial"/>
        </w:rPr>
        <w:t>Scheduling Coordinator ID Code</w:t>
      </w:r>
    </w:p>
    <w:p w14:paraId="1CF44C45" w14:textId="2FC292D1" w:rsidR="00A31F51" w:rsidRPr="00746F54" w:rsidRDefault="00A31F51" w:rsidP="00A31F51">
      <w:pPr>
        <w:pStyle w:val="Bullet2HRt"/>
        <w:numPr>
          <w:ilvl w:val="1"/>
          <w:numId w:val="135"/>
        </w:numPr>
        <w:spacing w:line="360" w:lineRule="auto"/>
        <w:rPr>
          <w:rFonts w:ascii="Arial" w:hAnsi="Arial" w:cs="Arial"/>
          <w:b/>
        </w:rPr>
      </w:pPr>
      <w:r w:rsidRPr="00746F54">
        <w:rPr>
          <w:rFonts w:ascii="Arial" w:hAnsi="Arial" w:cs="Arial"/>
        </w:rPr>
        <w:t xml:space="preserve">Location of the LAP, </w:t>
      </w:r>
      <w:proofErr w:type="spellStart"/>
      <w:r w:rsidRPr="00746F54">
        <w:rPr>
          <w:rFonts w:ascii="Arial" w:hAnsi="Arial" w:cs="Arial"/>
        </w:rPr>
        <w:t>PNode</w:t>
      </w:r>
      <w:proofErr w:type="spellEnd"/>
      <w:r w:rsidRPr="00746F54">
        <w:rPr>
          <w:rFonts w:ascii="Arial" w:hAnsi="Arial" w:cs="Arial"/>
        </w:rPr>
        <w:t xml:space="preserve"> or </w:t>
      </w:r>
      <w:proofErr w:type="spellStart"/>
      <w:r w:rsidRPr="00746F54">
        <w:rPr>
          <w:rFonts w:ascii="Arial" w:hAnsi="Arial" w:cs="Arial"/>
        </w:rPr>
        <w:t>APNode</w:t>
      </w:r>
      <w:proofErr w:type="spellEnd"/>
      <w:r w:rsidRPr="00746F54">
        <w:rPr>
          <w:rFonts w:ascii="Arial" w:hAnsi="Arial" w:cs="Arial"/>
        </w:rPr>
        <w:t>, as applicable</w:t>
      </w:r>
    </w:p>
    <w:p w14:paraId="40910F36" w14:textId="3C7DF21E" w:rsidR="00A31F51" w:rsidRPr="00746F54" w:rsidRDefault="00A31F51" w:rsidP="00A31F51">
      <w:pPr>
        <w:pStyle w:val="Bullet2HRt"/>
        <w:numPr>
          <w:ilvl w:val="0"/>
          <w:numId w:val="135"/>
        </w:numPr>
        <w:spacing w:line="360" w:lineRule="auto"/>
        <w:rPr>
          <w:rFonts w:ascii="Arial" w:hAnsi="Arial" w:cs="Arial"/>
          <w:b/>
        </w:rPr>
      </w:pPr>
      <w:r w:rsidRPr="00746F54">
        <w:rPr>
          <w:rFonts w:ascii="Arial" w:hAnsi="Arial" w:cs="Arial"/>
        </w:rPr>
        <w:t xml:space="preserve">For additional information on Demand Bid submission, please refer to the Demand Bids section of the </w:t>
      </w:r>
      <w:r w:rsidRPr="00746F54">
        <w:rPr>
          <w:rFonts w:ascii="Arial" w:hAnsi="Arial" w:cs="Arial"/>
          <w:i/>
        </w:rPr>
        <w:t xml:space="preserve">Market Instruments </w:t>
      </w:r>
      <w:r w:rsidRPr="00746F54">
        <w:rPr>
          <w:rFonts w:ascii="Arial" w:hAnsi="Arial" w:cs="Arial"/>
        </w:rPr>
        <w:t>BPM.</w:t>
      </w:r>
    </w:p>
    <w:p w14:paraId="79300247" w14:textId="1AA8A2DF" w:rsidR="00930BA2" w:rsidRPr="00746F54" w:rsidRDefault="00930BA2" w:rsidP="00930BA2">
      <w:pPr>
        <w:pStyle w:val="Bullet2HRt"/>
        <w:numPr>
          <w:ilvl w:val="0"/>
          <w:numId w:val="0"/>
        </w:numPr>
        <w:spacing w:line="360" w:lineRule="auto"/>
        <w:rPr>
          <w:rFonts w:ascii="Arial" w:hAnsi="Arial" w:cs="Arial"/>
          <w:b/>
        </w:rPr>
      </w:pPr>
      <w:r w:rsidRPr="00746F54">
        <w:rPr>
          <w:rFonts w:ascii="Arial" w:hAnsi="Arial" w:cs="Arial"/>
          <w:b/>
        </w:rPr>
        <w:t>Ancillary Service Bids</w:t>
      </w:r>
    </w:p>
    <w:p w14:paraId="41D450BC" w14:textId="30FBBDC6"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lastRenderedPageBreak/>
        <w:t>For the CAISO</w:t>
      </w:r>
      <w:r w:rsidR="00BA2258" w:rsidRPr="00746F54">
        <w:rPr>
          <w:rFonts w:ascii="Arial" w:hAnsi="Arial" w:cs="Arial"/>
        </w:rPr>
        <w:t xml:space="preserve"> balancing area</w:t>
      </w:r>
      <w:r w:rsidRPr="00746F54">
        <w:rPr>
          <w:rFonts w:ascii="Arial" w:hAnsi="Arial" w:cs="Arial"/>
        </w:rPr>
        <w:t>, Scheduling Coordinators submit AS bids in the DAM and the IFM considers AS bids in conjunction with energy bids to make AS awards based on a simultaneous optimization.   See Market Operations BPM Section 2.5.2 for more information on optimized AS bidding.</w:t>
      </w:r>
    </w:p>
    <w:p w14:paraId="092A085A" w14:textId="57D02F4F"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 xml:space="preserve">For EDAM entities, ancillary services are </w:t>
      </w:r>
      <w:r w:rsidR="00BA2258" w:rsidRPr="00746F54">
        <w:rPr>
          <w:rFonts w:ascii="Arial" w:hAnsi="Arial" w:cs="Arial"/>
        </w:rPr>
        <w:t xml:space="preserve">currently </w:t>
      </w:r>
      <w:r w:rsidRPr="00746F54">
        <w:rPr>
          <w:rFonts w:ascii="Arial" w:hAnsi="Arial" w:cs="Arial"/>
        </w:rPr>
        <w:t xml:space="preserve">not co-optimized with energy.  EDAM entities submit AS requirements and self-schedule AS resources via SIBR.  A submission to self-provide AS </w:t>
      </w:r>
      <w:proofErr w:type="gramStart"/>
      <w:r w:rsidRPr="00746F54">
        <w:rPr>
          <w:rFonts w:ascii="Arial" w:hAnsi="Arial" w:cs="Arial"/>
        </w:rPr>
        <w:t>in a given</w:t>
      </w:r>
      <w:proofErr w:type="gramEnd"/>
      <w:r w:rsidRPr="00746F54">
        <w:rPr>
          <w:rFonts w:ascii="Arial" w:hAnsi="Arial" w:cs="Arial"/>
        </w:rPr>
        <w:t xml:space="preserve"> trading hour contains only a capacity offer without a price. Submissions to self-provide an AS are only evaluated for feasibility with respect to the relevant resource operating characteristics.  </w:t>
      </w:r>
    </w:p>
    <w:p w14:paraId="2C8F262F" w14:textId="77777777"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TSR Bids</w:t>
      </w:r>
    </w:p>
    <w:p w14:paraId="0AB8A97A" w14:textId="0504251D" w:rsidR="00930BA2" w:rsidRPr="00746F54" w:rsidRDefault="00930BA2" w:rsidP="00930BA2">
      <w:pPr>
        <w:pStyle w:val="Bullet2HRt"/>
        <w:numPr>
          <w:ilvl w:val="1"/>
          <w:numId w:val="119"/>
        </w:numPr>
        <w:spacing w:line="360" w:lineRule="auto"/>
        <w:rPr>
          <w:rFonts w:ascii="Arial" w:hAnsi="Arial" w:cs="Arial"/>
        </w:rPr>
      </w:pPr>
      <w:r w:rsidRPr="00746F54">
        <w:rPr>
          <w:rFonts w:ascii="Arial" w:hAnsi="Arial" w:cs="Arial"/>
        </w:rPr>
        <w:t xml:space="preserve">See section 17.6.1 for details on TSR bid </w:t>
      </w:r>
      <w:r w:rsidR="00C95132" w:rsidRPr="00746F54">
        <w:rPr>
          <w:rFonts w:ascii="Arial" w:hAnsi="Arial" w:cs="Arial"/>
        </w:rPr>
        <w:t>types.</w:t>
      </w:r>
    </w:p>
    <w:p w14:paraId="694A5CF9" w14:textId="77777777"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Green House Gas (GHG) Bids</w:t>
      </w:r>
    </w:p>
    <w:p w14:paraId="64DDAA60" w14:textId="73123335" w:rsidR="00930BA2" w:rsidRPr="00746F54" w:rsidRDefault="00930BA2" w:rsidP="00930BA2">
      <w:pPr>
        <w:pStyle w:val="Bullet2HRt"/>
        <w:numPr>
          <w:ilvl w:val="1"/>
          <w:numId w:val="119"/>
        </w:numPr>
        <w:spacing w:line="360" w:lineRule="auto"/>
        <w:rPr>
          <w:rFonts w:ascii="Arial" w:hAnsi="Arial" w:cs="Arial"/>
        </w:rPr>
      </w:pPr>
      <w:r w:rsidRPr="00746F54">
        <w:rPr>
          <w:rFonts w:ascii="Arial" w:hAnsi="Arial" w:cs="Arial"/>
        </w:rPr>
        <w:t xml:space="preserve">See Section 18.2.2 for details on GHG bidding. </w:t>
      </w:r>
    </w:p>
    <w:p w14:paraId="26DE10A0" w14:textId="77777777" w:rsidR="00930BA2" w:rsidRPr="00746F54" w:rsidRDefault="00930BA2" w:rsidP="00930BA2">
      <w:pPr>
        <w:pStyle w:val="Bullet2HRt"/>
        <w:numPr>
          <w:ilvl w:val="0"/>
          <w:numId w:val="119"/>
        </w:numPr>
        <w:spacing w:line="360" w:lineRule="auto"/>
        <w:rPr>
          <w:rFonts w:ascii="Arial" w:hAnsi="Arial" w:cs="Arial"/>
        </w:rPr>
      </w:pPr>
      <w:r w:rsidRPr="00746F54">
        <w:rPr>
          <w:rFonts w:ascii="Arial" w:hAnsi="Arial" w:cs="Arial"/>
        </w:rPr>
        <w:t>Imbalance Reserve Up/Down (IRU/IRD) and Residual Capacity Up/Down (RCU/RCD)</w:t>
      </w:r>
    </w:p>
    <w:p w14:paraId="3030853F" w14:textId="77777777" w:rsidR="00930BA2" w:rsidRPr="00746F54" w:rsidRDefault="00930BA2" w:rsidP="00930BA2">
      <w:pPr>
        <w:pStyle w:val="Bullet2HRt"/>
        <w:numPr>
          <w:ilvl w:val="1"/>
          <w:numId w:val="119"/>
        </w:numPr>
        <w:spacing w:line="360" w:lineRule="auto"/>
        <w:rPr>
          <w:rFonts w:ascii="Arial" w:hAnsi="Arial" w:cs="Arial"/>
        </w:rPr>
      </w:pPr>
      <w:r w:rsidRPr="00746F54">
        <w:rPr>
          <w:rFonts w:ascii="Arial" w:hAnsi="Arial" w:cs="Arial"/>
        </w:rPr>
        <w:t xml:space="preserve">See Market Operations BPM for IRU/IRD and RCU/RCD bidding details. </w:t>
      </w:r>
    </w:p>
    <w:p w14:paraId="5074816D" w14:textId="04BEC983" w:rsidR="00930BA2" w:rsidRPr="00746F54" w:rsidRDefault="00930BA2" w:rsidP="00930BA2">
      <w:pPr>
        <w:pStyle w:val="Bullet2HRt"/>
        <w:numPr>
          <w:ilvl w:val="0"/>
          <w:numId w:val="0"/>
        </w:numPr>
        <w:rPr>
          <w:rFonts w:ascii="Arial" w:hAnsi="Arial" w:cs="Arial"/>
        </w:rPr>
      </w:pPr>
      <w:r w:rsidRPr="00746F54">
        <w:rPr>
          <w:rFonts w:ascii="Arial" w:hAnsi="Arial" w:cs="Arial"/>
        </w:rPr>
        <w:t xml:space="preserve">All bid types may be submitted as far as seven days in advance of the given trade date and may be revised up until 10:00 for the next trade date execution, commonly referred to as “D+1.”  SC entities with bidding responsibilities should strive to complete bidding MW quantities by 09:00 to improve the accuracy of the advisory RSE executions at 09:00 and 09:30 for their BAA.   Should bidding not be complete for the advisory RSE executions, EDAM entities may be required to consider taking actions to pass the RSE without the benefit of the best available information.  </w:t>
      </w:r>
    </w:p>
    <w:p w14:paraId="3EDF1055" w14:textId="040D7CCF" w:rsidR="004966A5" w:rsidRPr="0097362D" w:rsidRDefault="004966A5" w:rsidP="0097362D">
      <w:pPr>
        <w:pStyle w:val="Heading2"/>
      </w:pPr>
      <w:r w:rsidRPr="00746F54">
        <w:t xml:space="preserve"> </w:t>
      </w:r>
      <w:bookmarkStart w:id="165" w:name="_Toc211337933"/>
      <w:bookmarkStart w:id="166" w:name="_Toc228963721"/>
      <w:r w:rsidRPr="0097362D">
        <w:t>Economic Bids at EDAM Interties</w:t>
      </w:r>
      <w:bookmarkEnd w:id="165"/>
      <w:bookmarkEnd w:id="166"/>
    </w:p>
    <w:p w14:paraId="29DE6B49" w14:textId="740D387F" w:rsidR="004966A5" w:rsidRPr="00746F54" w:rsidRDefault="004966A5" w:rsidP="004966A5">
      <w:pPr>
        <w:pStyle w:val="ParaText"/>
        <w:rPr>
          <w:rFonts w:ascii="Arial" w:hAnsi="Arial" w:cs="Arial"/>
          <w:u w:val="single"/>
        </w:rPr>
      </w:pPr>
      <w:r w:rsidRPr="00746F54">
        <w:rPr>
          <w:rFonts w:ascii="Arial" w:hAnsi="Arial" w:cs="Arial"/>
          <w:u w:val="single"/>
        </w:rPr>
        <w:t>Reference tariff section 33.30.3.</w:t>
      </w:r>
    </w:p>
    <w:p w14:paraId="5E41743E" w14:textId="3BDCB84C" w:rsidR="004966A5" w:rsidRPr="00746F54" w:rsidRDefault="00BE63D4" w:rsidP="004966A5">
      <w:pPr>
        <w:pStyle w:val="ParaText"/>
        <w:rPr>
          <w:rFonts w:ascii="Arial" w:hAnsi="Arial" w:cs="Arial"/>
        </w:rPr>
      </w:pPr>
      <w:r w:rsidRPr="00746F54">
        <w:rPr>
          <w:rFonts w:ascii="Arial" w:hAnsi="Arial" w:cs="Arial"/>
        </w:rPr>
        <w:t>Scheduling Coordinators may not submit economic bids at EDAM external interties or EDAM internal interties unless the submission of economic bids has been enabled by the EDAM entity under its tariff consistent with tariff section 29.34(</w:t>
      </w:r>
      <w:proofErr w:type="spellStart"/>
      <w:r w:rsidRPr="00746F54">
        <w:rPr>
          <w:rFonts w:ascii="Arial" w:hAnsi="Arial" w:cs="Arial"/>
        </w:rPr>
        <w:t>i</w:t>
      </w:r>
      <w:proofErr w:type="spellEnd"/>
      <w:r w:rsidRPr="00746F54">
        <w:rPr>
          <w:rFonts w:ascii="Arial" w:hAnsi="Arial" w:cs="Arial"/>
        </w:rPr>
        <w:t>)(2).  Scheduling coordinators may otherwise submit self-schedules at the EDAM entity external intertie to meet contractual obligations.</w:t>
      </w:r>
    </w:p>
    <w:p w14:paraId="30B54B3B" w14:textId="214A22EA" w:rsidR="00BE63D4" w:rsidRPr="00746F54" w:rsidRDefault="00BE63D4" w:rsidP="004966A5">
      <w:pPr>
        <w:pStyle w:val="ParaText"/>
        <w:rPr>
          <w:rFonts w:ascii="Arial" w:hAnsi="Arial" w:cs="Arial"/>
        </w:rPr>
      </w:pPr>
      <w:r w:rsidRPr="00746F54">
        <w:rPr>
          <w:rFonts w:ascii="Arial" w:hAnsi="Arial" w:cs="Arial"/>
        </w:rPr>
        <w:lastRenderedPageBreak/>
        <w:t>The exception to the rule</w:t>
      </w:r>
      <w:r w:rsidR="00D15226" w:rsidRPr="00746F54">
        <w:rPr>
          <w:rFonts w:ascii="Arial" w:hAnsi="Arial" w:cs="Arial"/>
        </w:rPr>
        <w:t xml:space="preserve"> noted</w:t>
      </w:r>
      <w:r w:rsidRPr="00746F54">
        <w:rPr>
          <w:rFonts w:ascii="Arial" w:hAnsi="Arial" w:cs="Arial"/>
        </w:rPr>
        <w:t xml:space="preserve"> above is that a Scheduling Coordinators for a designated network resource </w:t>
      </w:r>
      <w:r w:rsidR="00D15226" w:rsidRPr="00746F54">
        <w:rPr>
          <w:rFonts w:ascii="Arial" w:hAnsi="Arial" w:cs="Arial"/>
        </w:rPr>
        <w:t xml:space="preserve">located outside of the EDAM area at an EDAM external Intertie, which is designated under the terms of the EDAM Entity or EDAM Transmission Service Provider tariff, may economically bid at the EDAM external intertie.  The designated network resource will be registered in Masterfile as a system resource or tie gen resource with either 5-minute or 15-minute dispatch capability to respond to market awards.  </w:t>
      </w:r>
    </w:p>
    <w:p w14:paraId="6C8A5A81" w14:textId="58742687" w:rsidR="00C932BC" w:rsidRPr="00746F54" w:rsidRDefault="00C932BC" w:rsidP="004966A5">
      <w:pPr>
        <w:pStyle w:val="ParaText"/>
        <w:rPr>
          <w:rFonts w:ascii="Arial" w:hAnsi="Arial" w:cs="Arial"/>
        </w:rPr>
      </w:pPr>
      <w:r w:rsidRPr="00746F54">
        <w:rPr>
          <w:rFonts w:ascii="Arial" w:hAnsi="Arial" w:cs="Arial"/>
        </w:rPr>
        <w:t xml:space="preserve">The CAISO will continue to support economic bidding at the interties of its balancing authority area as described </w:t>
      </w:r>
      <w:r w:rsidRPr="000A5DFA">
        <w:rPr>
          <w:rFonts w:ascii="Arial" w:hAnsi="Arial" w:cs="Arial"/>
        </w:rPr>
        <w:t>in this BPM.</w:t>
      </w:r>
      <w:r w:rsidRPr="00746F54">
        <w:rPr>
          <w:rFonts w:ascii="Arial" w:hAnsi="Arial" w:cs="Arial"/>
        </w:rPr>
        <w:t xml:space="preserve">  </w:t>
      </w:r>
    </w:p>
    <w:p w14:paraId="2E81AFF5" w14:textId="77777777" w:rsidR="005D7027" w:rsidRPr="0097362D" w:rsidRDefault="005D7027" w:rsidP="0097362D">
      <w:pPr>
        <w:pStyle w:val="Heading2"/>
      </w:pPr>
      <w:bookmarkStart w:id="167" w:name="_Toc211337934"/>
      <w:bookmarkStart w:id="168" w:name="_Toc228963722"/>
      <w:r w:rsidRPr="0097362D">
        <w:t>EDAM Entity Access to Bid Information</w:t>
      </w:r>
      <w:bookmarkEnd w:id="167"/>
      <w:bookmarkEnd w:id="168"/>
    </w:p>
    <w:p w14:paraId="55A2D436" w14:textId="77777777" w:rsidR="005D7027" w:rsidRPr="00746F54" w:rsidRDefault="005D7027" w:rsidP="00636D40">
      <w:pPr>
        <w:pStyle w:val="Bullet2HRt"/>
        <w:numPr>
          <w:ilvl w:val="0"/>
          <w:numId w:val="0"/>
        </w:numPr>
        <w:rPr>
          <w:rFonts w:ascii="Arial" w:hAnsi="Arial" w:cs="Arial"/>
          <w:bCs/>
          <w:u w:val="single"/>
        </w:rPr>
      </w:pPr>
      <w:bookmarkStart w:id="169" w:name="_Toc211337935"/>
      <w:r w:rsidRPr="00746F54">
        <w:rPr>
          <w:rFonts w:ascii="Arial" w:hAnsi="Arial" w:cs="Arial"/>
        </w:rPr>
        <w:t>Reference</w:t>
      </w:r>
      <w:r w:rsidRPr="00746F54">
        <w:rPr>
          <w:rFonts w:ascii="Arial" w:hAnsi="Arial" w:cs="Arial"/>
          <w:bCs/>
          <w:u w:val="single"/>
        </w:rPr>
        <w:t xml:space="preserve"> tariff section 33.30.4</w:t>
      </w:r>
      <w:bookmarkEnd w:id="169"/>
    </w:p>
    <w:p w14:paraId="1AC6A925" w14:textId="77777777" w:rsidR="00FB6D53" w:rsidRPr="00746F54" w:rsidRDefault="005D7027" w:rsidP="00636D40">
      <w:pPr>
        <w:pStyle w:val="Bullet2HRt"/>
        <w:numPr>
          <w:ilvl w:val="0"/>
          <w:numId w:val="0"/>
        </w:numPr>
        <w:rPr>
          <w:rFonts w:ascii="Arial" w:hAnsi="Arial" w:cs="Arial"/>
          <w:bCs/>
        </w:rPr>
      </w:pPr>
      <w:bookmarkStart w:id="170" w:name="_Toc211337936"/>
      <w:r w:rsidRPr="00746F54">
        <w:rPr>
          <w:rFonts w:ascii="Arial" w:hAnsi="Arial" w:cs="Arial"/>
        </w:rPr>
        <w:t>To</w:t>
      </w:r>
      <w:r w:rsidRPr="00746F54">
        <w:rPr>
          <w:rFonts w:ascii="Arial" w:hAnsi="Arial" w:cs="Arial"/>
          <w:bCs/>
          <w:u w:val="single"/>
        </w:rPr>
        <w:t xml:space="preserve"> </w:t>
      </w:r>
      <w:r w:rsidRPr="00746F54">
        <w:rPr>
          <w:rFonts w:ascii="Arial" w:hAnsi="Arial" w:cs="Arial"/>
          <w:bCs/>
        </w:rPr>
        <w:t xml:space="preserve">support </w:t>
      </w:r>
      <w:r w:rsidR="001A1D8C" w:rsidRPr="00746F54">
        <w:rPr>
          <w:rFonts w:ascii="Arial" w:hAnsi="Arial" w:cs="Arial"/>
          <w:bCs/>
        </w:rPr>
        <w:t>the EDAM Entity obligations</w:t>
      </w:r>
      <w:r w:rsidR="00FB6D53" w:rsidRPr="00746F54">
        <w:rPr>
          <w:rFonts w:ascii="Arial" w:hAnsi="Arial" w:cs="Arial"/>
          <w:bCs/>
        </w:rPr>
        <w:t>, particularly the conduct of the EDAM Resource Sufficiency Evaluation, CAISO will provide the EDAM Entity with access to certain data related to resource bids, without sharing pricing information, associated with the EDAM resources within its balancing authority area and at interties with other balancing authority areas.</w:t>
      </w:r>
      <w:bookmarkEnd w:id="170"/>
    </w:p>
    <w:p w14:paraId="13F4C8A3" w14:textId="37CFB965" w:rsidR="005D7027" w:rsidRPr="00746F54" w:rsidRDefault="00FB6D53" w:rsidP="00636D40">
      <w:pPr>
        <w:pStyle w:val="Bullet2HRt"/>
        <w:numPr>
          <w:ilvl w:val="0"/>
          <w:numId w:val="0"/>
        </w:numPr>
        <w:rPr>
          <w:rFonts w:ascii="Arial" w:hAnsi="Arial" w:cs="Arial"/>
        </w:rPr>
      </w:pPr>
      <w:bookmarkStart w:id="171" w:name="_Toc211337937"/>
      <w:r w:rsidRPr="00746F54">
        <w:rPr>
          <w:rFonts w:ascii="Arial" w:hAnsi="Arial" w:cs="Arial"/>
        </w:rPr>
        <w:t>The</w:t>
      </w:r>
      <w:r w:rsidRPr="00746F54">
        <w:rPr>
          <w:rFonts w:ascii="Arial" w:hAnsi="Arial" w:cs="Arial"/>
          <w:bCs/>
        </w:rPr>
        <w:t xml:space="preserve"> EDAM Entity will </w:t>
      </w:r>
      <w:r w:rsidR="00FC600B" w:rsidRPr="00746F54">
        <w:rPr>
          <w:rFonts w:ascii="Arial" w:hAnsi="Arial" w:cs="Arial"/>
          <w:bCs/>
        </w:rPr>
        <w:t>receive access to this biding information through the Customer Market Results Interface (CMRI).</w:t>
      </w:r>
      <w:bookmarkEnd w:id="171"/>
      <w:r w:rsidR="00FC600B" w:rsidRPr="00746F54">
        <w:rPr>
          <w:rFonts w:ascii="Arial" w:hAnsi="Arial" w:cs="Arial"/>
          <w:bCs/>
        </w:rPr>
        <w:t xml:space="preserve">  </w:t>
      </w:r>
      <w:r w:rsidRPr="00746F54">
        <w:rPr>
          <w:rFonts w:ascii="Arial" w:hAnsi="Arial" w:cs="Arial"/>
          <w:bCs/>
        </w:rPr>
        <w:t xml:space="preserve"> </w:t>
      </w:r>
      <w:r w:rsidR="00FC7631" w:rsidRPr="00746F54">
        <w:rPr>
          <w:rFonts w:ascii="Arial" w:hAnsi="Arial" w:cs="Arial"/>
        </w:rPr>
        <w:t xml:space="preserve"> </w:t>
      </w:r>
    </w:p>
    <w:p w14:paraId="13499E36" w14:textId="77777777" w:rsidR="00F04034" w:rsidRPr="0097362D" w:rsidRDefault="00F04034" w:rsidP="0097362D">
      <w:pPr>
        <w:pStyle w:val="Heading2"/>
      </w:pPr>
      <w:bookmarkStart w:id="172" w:name="_Toc211337938"/>
      <w:bookmarkStart w:id="173" w:name="_Toc228963723"/>
      <w:r w:rsidRPr="0097362D">
        <w:t>RUC Availability Bids for Variable Energy Resources</w:t>
      </w:r>
      <w:bookmarkEnd w:id="172"/>
      <w:bookmarkEnd w:id="173"/>
    </w:p>
    <w:p w14:paraId="7A82EBB9" w14:textId="77777777" w:rsidR="00F04034" w:rsidRPr="00746F54" w:rsidRDefault="00F04034" w:rsidP="00636D40">
      <w:pPr>
        <w:pStyle w:val="Bullet2HRt"/>
        <w:numPr>
          <w:ilvl w:val="0"/>
          <w:numId w:val="0"/>
        </w:numPr>
        <w:rPr>
          <w:rFonts w:ascii="Arial" w:hAnsi="Arial" w:cs="Arial"/>
          <w:bCs/>
          <w:u w:val="single"/>
        </w:rPr>
      </w:pPr>
      <w:bookmarkStart w:id="174" w:name="_Toc211337939"/>
      <w:r w:rsidRPr="00746F54">
        <w:rPr>
          <w:rFonts w:ascii="Arial" w:hAnsi="Arial" w:cs="Arial"/>
          <w:u w:val="single"/>
        </w:rPr>
        <w:t>Re</w:t>
      </w:r>
      <w:r w:rsidRPr="00746F54">
        <w:rPr>
          <w:rFonts w:ascii="Arial" w:hAnsi="Arial" w:cs="Arial"/>
          <w:bCs/>
          <w:u w:val="single"/>
        </w:rPr>
        <w:t>ference tariff section 33.30.6.</w:t>
      </w:r>
      <w:bookmarkEnd w:id="174"/>
    </w:p>
    <w:p w14:paraId="533AD2F0" w14:textId="77777777" w:rsidR="00F04034" w:rsidRPr="00746F54" w:rsidRDefault="00F04034" w:rsidP="00636D40">
      <w:pPr>
        <w:pStyle w:val="Bullet2HRt"/>
        <w:numPr>
          <w:ilvl w:val="0"/>
          <w:numId w:val="0"/>
        </w:numPr>
        <w:rPr>
          <w:rFonts w:ascii="Arial" w:hAnsi="Arial" w:cs="Arial"/>
          <w:bCs/>
        </w:rPr>
      </w:pPr>
      <w:bookmarkStart w:id="175" w:name="_Toc211337940"/>
      <w:r w:rsidRPr="00746F54">
        <w:rPr>
          <w:rFonts w:ascii="Arial" w:hAnsi="Arial" w:cs="Arial"/>
        </w:rPr>
        <w:t>An EDAM Resource Scheduling Coordinator for a Variable Energy Resource must submit RUC</w:t>
      </w:r>
      <w:r w:rsidRPr="00746F54">
        <w:rPr>
          <w:rFonts w:ascii="Arial" w:hAnsi="Arial" w:cs="Arial"/>
          <w:bCs/>
        </w:rPr>
        <w:t xml:space="preserve"> Availability Bids in the Day Ahead Market as specified in section 31.5.1.2 of the tariff.  The Variable Energy Resource is considered an Eligible Intermittent Resource for purposes of that section.</w:t>
      </w:r>
      <w:bookmarkEnd w:id="175"/>
    </w:p>
    <w:p w14:paraId="5EB6EF6A" w14:textId="0279788C" w:rsidR="00F04034" w:rsidRPr="00746F54" w:rsidRDefault="00F04034" w:rsidP="00636D40">
      <w:pPr>
        <w:pStyle w:val="Bullet2HRt"/>
        <w:numPr>
          <w:ilvl w:val="0"/>
          <w:numId w:val="0"/>
        </w:numPr>
        <w:rPr>
          <w:rFonts w:ascii="Arial" w:hAnsi="Arial" w:cs="Arial"/>
        </w:rPr>
      </w:pPr>
      <w:bookmarkStart w:id="176" w:name="_Toc211337941"/>
      <w:r w:rsidRPr="00746F54">
        <w:rPr>
          <w:rFonts w:ascii="Arial" w:hAnsi="Arial" w:cs="Arial"/>
        </w:rPr>
        <w:t xml:space="preserve">As described in that section, RUC Availability Bids are submitted for capacity for which they are also </w:t>
      </w:r>
      <w:r w:rsidRPr="00746F54">
        <w:rPr>
          <w:rFonts w:ascii="Arial" w:hAnsi="Arial" w:cs="Arial"/>
          <w:bCs/>
        </w:rPr>
        <w:t xml:space="preserve">submitting an Energy Bid in the IFM.  </w:t>
      </w:r>
      <w:r w:rsidR="00870BC3" w:rsidRPr="00746F54">
        <w:rPr>
          <w:rFonts w:ascii="Arial" w:hAnsi="Arial" w:cs="Arial"/>
          <w:bCs/>
        </w:rPr>
        <w:t>The Scheduling Coordinators representing the Variable Energy Resources must submit RUC availability bids for Reliability Capacity Up (RCU) at a quantity equal to their forecasted output based on the forecast.</w:t>
      </w:r>
      <w:bookmarkEnd w:id="176"/>
      <w:r w:rsidR="00870BC3" w:rsidRPr="00746F54">
        <w:rPr>
          <w:rFonts w:ascii="Arial" w:hAnsi="Arial" w:cs="Arial"/>
          <w:bCs/>
        </w:rPr>
        <w:t xml:space="preserve">  </w:t>
      </w:r>
    </w:p>
    <w:p w14:paraId="20960DA3" w14:textId="6680B167" w:rsidR="00930BA2" w:rsidRPr="0097362D" w:rsidRDefault="00F77716" w:rsidP="0097362D">
      <w:pPr>
        <w:pStyle w:val="Heading2"/>
      </w:pPr>
      <w:r w:rsidRPr="0097362D">
        <w:t xml:space="preserve"> </w:t>
      </w:r>
      <w:bookmarkStart w:id="177" w:name="_Toc211337942"/>
      <w:bookmarkStart w:id="178" w:name="_Toc228963724"/>
      <w:r w:rsidR="00930BA2" w:rsidRPr="0097362D">
        <w:t>Convergence Bidding</w:t>
      </w:r>
      <w:bookmarkEnd w:id="177"/>
      <w:bookmarkEnd w:id="178"/>
    </w:p>
    <w:p w14:paraId="6D967A40" w14:textId="150E062C" w:rsidR="00FC7631" w:rsidRPr="00746F54" w:rsidRDefault="00FC7631" w:rsidP="00930BA2">
      <w:pPr>
        <w:pStyle w:val="Bullet2HRt"/>
        <w:numPr>
          <w:ilvl w:val="0"/>
          <w:numId w:val="0"/>
        </w:numPr>
        <w:rPr>
          <w:rFonts w:ascii="Arial" w:hAnsi="Arial" w:cs="Arial"/>
          <w:u w:val="single"/>
        </w:rPr>
      </w:pPr>
      <w:r w:rsidRPr="00746F54">
        <w:rPr>
          <w:rFonts w:ascii="Arial" w:hAnsi="Arial" w:cs="Arial"/>
          <w:u w:val="single"/>
        </w:rPr>
        <w:t>Reference tariff section 33.30.7</w:t>
      </w:r>
    </w:p>
    <w:p w14:paraId="3795F44A" w14:textId="47A3AFA7" w:rsidR="00930BA2" w:rsidRPr="00746F54" w:rsidRDefault="00930BA2" w:rsidP="00930BA2">
      <w:pPr>
        <w:pStyle w:val="Bullet2HRt"/>
        <w:numPr>
          <w:ilvl w:val="0"/>
          <w:numId w:val="0"/>
        </w:numPr>
        <w:rPr>
          <w:rFonts w:ascii="Arial" w:hAnsi="Arial" w:cs="Arial"/>
        </w:rPr>
      </w:pPr>
      <w:r w:rsidRPr="00746F54">
        <w:rPr>
          <w:rFonts w:ascii="Arial" w:hAnsi="Arial" w:cs="Arial"/>
        </w:rPr>
        <w:lastRenderedPageBreak/>
        <w:t xml:space="preserve">Convergence bidding (commonly known as virtual bidding) allows market participants to submit financial bids in the day-ahead market that do not represent physical supply or demand. Convergence bidding is a common feature of forward electricity markets and improves price convergence between the day-ahead and real-time markets. CAISO provides each EDAM entity with the </w:t>
      </w:r>
      <w:proofErr w:type="gramStart"/>
      <w:r w:rsidRPr="00746F54">
        <w:rPr>
          <w:rFonts w:ascii="Arial" w:hAnsi="Arial" w:cs="Arial"/>
        </w:rPr>
        <w:t>option,</w:t>
      </w:r>
      <w:proofErr w:type="gramEnd"/>
      <w:r w:rsidRPr="00746F54">
        <w:rPr>
          <w:rFonts w:ascii="Arial" w:hAnsi="Arial" w:cs="Arial"/>
        </w:rPr>
        <w:t xml:space="preserve"> at the onset of its participation in EDAM, to elect whether to implement convergence bidding within its balancing area. </w:t>
      </w:r>
    </w:p>
    <w:p w14:paraId="0EC99F11" w14:textId="77777777" w:rsidR="00930BA2" w:rsidRDefault="00930BA2" w:rsidP="00930BA2">
      <w:pPr>
        <w:pStyle w:val="Bullet2HRt"/>
        <w:numPr>
          <w:ilvl w:val="0"/>
          <w:numId w:val="0"/>
        </w:numPr>
        <w:rPr>
          <w:rFonts w:ascii="Arial" w:hAnsi="Arial" w:cs="Arial"/>
        </w:rPr>
      </w:pPr>
      <w:r w:rsidRPr="00746F54">
        <w:rPr>
          <w:rFonts w:ascii="Arial" w:hAnsi="Arial" w:cs="Arial"/>
        </w:rPr>
        <w:t xml:space="preserve">Convergence bidding will continue to be supported within the CAISO balancing area, as described further in the Market Operations BPM.  </w:t>
      </w:r>
    </w:p>
    <w:p w14:paraId="07BD96EE" w14:textId="6CBBA8BA" w:rsidR="00961053" w:rsidRDefault="00961053" w:rsidP="00930BA2">
      <w:pPr>
        <w:pStyle w:val="Bullet2HRt"/>
        <w:numPr>
          <w:ilvl w:val="0"/>
          <w:numId w:val="0"/>
        </w:numPr>
        <w:rPr>
          <w:rFonts w:ascii="Arial" w:hAnsi="Arial" w:cs="Arial"/>
        </w:rPr>
      </w:pPr>
      <w:r>
        <w:rPr>
          <w:rFonts w:ascii="Arial" w:hAnsi="Arial" w:cs="Arial"/>
        </w:rPr>
        <w:t>PacifiCorp, as</w:t>
      </w:r>
      <w:r w:rsidR="003E6BCD">
        <w:rPr>
          <w:rFonts w:ascii="Arial" w:hAnsi="Arial" w:cs="Arial"/>
        </w:rPr>
        <w:t xml:space="preserve"> of the launch of EDAM on May 1, 2026,</w:t>
      </w:r>
      <w:r>
        <w:rPr>
          <w:rFonts w:ascii="Arial" w:hAnsi="Arial" w:cs="Arial"/>
        </w:rPr>
        <w:t xml:space="preserve"> has not elected to enable convergence bidding within its balancing areas.</w:t>
      </w:r>
    </w:p>
    <w:p w14:paraId="3B4A37B4" w14:textId="45BD3632" w:rsidR="00961053" w:rsidRPr="00746F54" w:rsidRDefault="00961053" w:rsidP="00930BA2">
      <w:pPr>
        <w:pStyle w:val="Bullet2HRt"/>
        <w:numPr>
          <w:ilvl w:val="0"/>
          <w:numId w:val="0"/>
        </w:numPr>
        <w:rPr>
          <w:rFonts w:ascii="Arial" w:hAnsi="Arial" w:cs="Arial"/>
        </w:rPr>
      </w:pPr>
      <w:r>
        <w:rPr>
          <w:rFonts w:ascii="Arial" w:hAnsi="Arial" w:cs="Arial"/>
        </w:rPr>
        <w:t xml:space="preserve">To the extent an EDAM entity elects to enable convergence bidding during its EDAM onboarding process, market participants will be notified of such decision by the CAISO via market notice and the EDAM entity will also notify its customers through its stakeholder process.  The enabling of convergence bidding will be an explicit part of the associated processes, training, and communication </w:t>
      </w:r>
      <w:r w:rsidR="00B36790">
        <w:rPr>
          <w:rFonts w:ascii="Arial" w:hAnsi="Arial" w:cs="Arial"/>
        </w:rPr>
        <w:t>during the onboarding process into the EDAM.</w:t>
      </w:r>
      <w:r>
        <w:rPr>
          <w:rFonts w:ascii="Arial" w:hAnsi="Arial" w:cs="Arial"/>
        </w:rPr>
        <w:t xml:space="preserve"> </w:t>
      </w:r>
    </w:p>
    <w:p w14:paraId="67E7FD08" w14:textId="77777777" w:rsidR="00930BA2" w:rsidRPr="0097362D" w:rsidRDefault="00930BA2" w:rsidP="00C92ADB">
      <w:pPr>
        <w:pStyle w:val="Heading3"/>
      </w:pPr>
      <w:bookmarkStart w:id="179" w:name="_Toc211337943"/>
      <w:r w:rsidRPr="0097362D">
        <w:t>Suspending Convergence Bidding</w:t>
      </w:r>
      <w:bookmarkEnd w:id="179"/>
    </w:p>
    <w:p w14:paraId="49E2FC0A" w14:textId="514B3126" w:rsidR="00930BA2" w:rsidRPr="00746F54" w:rsidRDefault="00930BA2" w:rsidP="00930BA2">
      <w:pPr>
        <w:pStyle w:val="ParaText"/>
        <w:rPr>
          <w:rFonts w:ascii="Arial" w:hAnsi="Arial" w:cs="Arial"/>
        </w:rPr>
      </w:pPr>
      <w:r w:rsidRPr="00746F54">
        <w:rPr>
          <w:rFonts w:ascii="Arial" w:hAnsi="Arial" w:cs="Arial"/>
        </w:rPr>
        <w:t xml:space="preserve">The CISO has the authority to suspend convergence </w:t>
      </w:r>
      <w:r w:rsidR="000A5DFA" w:rsidRPr="00746F54">
        <w:rPr>
          <w:rFonts w:ascii="Arial" w:hAnsi="Arial" w:cs="Arial"/>
        </w:rPr>
        <w:t>bidding,</w:t>
      </w:r>
      <w:r w:rsidRPr="00746F54">
        <w:rPr>
          <w:rFonts w:ascii="Arial" w:hAnsi="Arial" w:cs="Arial"/>
        </w:rPr>
        <w:t xml:space="preserve"> when necessary, per Tariff 7.9.3.  This can be performed to bids already submitted or to bids that will be submitted in the future either at the </w:t>
      </w:r>
      <w:proofErr w:type="spellStart"/>
      <w:r w:rsidRPr="00746F54">
        <w:rPr>
          <w:rFonts w:ascii="Arial" w:hAnsi="Arial" w:cs="Arial"/>
        </w:rPr>
        <w:t>Pnode</w:t>
      </w:r>
      <w:proofErr w:type="spellEnd"/>
      <w:r w:rsidRPr="00746F54">
        <w:rPr>
          <w:rFonts w:ascii="Arial" w:hAnsi="Arial" w:cs="Arial"/>
        </w:rPr>
        <w:t xml:space="preserve">, Aggregated </w:t>
      </w:r>
      <w:proofErr w:type="spellStart"/>
      <w:r w:rsidRPr="00746F54">
        <w:rPr>
          <w:rFonts w:ascii="Arial" w:hAnsi="Arial" w:cs="Arial"/>
        </w:rPr>
        <w:t>Pnode</w:t>
      </w:r>
      <w:proofErr w:type="spellEnd"/>
      <w:r w:rsidRPr="00746F54">
        <w:rPr>
          <w:rFonts w:ascii="Arial" w:hAnsi="Arial" w:cs="Arial"/>
        </w:rPr>
        <w:t xml:space="preserve">, or all </w:t>
      </w:r>
      <w:proofErr w:type="spellStart"/>
      <w:r w:rsidRPr="00746F54">
        <w:rPr>
          <w:rFonts w:ascii="Arial" w:hAnsi="Arial" w:cs="Arial"/>
        </w:rPr>
        <w:t>Pnodes</w:t>
      </w:r>
      <w:proofErr w:type="spellEnd"/>
      <w:r w:rsidRPr="00746F54">
        <w:rPr>
          <w:rFonts w:ascii="Arial" w:hAnsi="Arial" w:cs="Arial"/>
        </w:rPr>
        <w:t xml:space="preserve"> levels. Suspending convergence bidding is considered a rare, last-resort action, only performed where the inclusion of such convergence bidding risks:</w:t>
      </w:r>
    </w:p>
    <w:p w14:paraId="23EBE732" w14:textId="77777777" w:rsidR="00930BA2" w:rsidRPr="00746F54" w:rsidRDefault="00930BA2" w:rsidP="00930BA2">
      <w:pPr>
        <w:pStyle w:val="ParaText"/>
        <w:spacing w:after="0"/>
        <w:ind w:left="720"/>
        <w:rPr>
          <w:rFonts w:ascii="Arial" w:hAnsi="Arial" w:cs="Arial"/>
        </w:rPr>
      </w:pPr>
      <w:r w:rsidRPr="00746F54">
        <w:rPr>
          <w:rFonts w:ascii="Arial" w:hAnsi="Arial" w:cs="Arial"/>
        </w:rPr>
        <w:t>• Sufficient Energy or Ancillary Service bids</w:t>
      </w:r>
    </w:p>
    <w:p w14:paraId="2C1141A8" w14:textId="77777777" w:rsidR="00930BA2" w:rsidRPr="00746F54" w:rsidRDefault="00930BA2" w:rsidP="00930BA2">
      <w:pPr>
        <w:pStyle w:val="ParaText"/>
        <w:spacing w:after="0"/>
        <w:ind w:left="720"/>
        <w:rPr>
          <w:rFonts w:ascii="Arial" w:hAnsi="Arial" w:cs="Arial"/>
        </w:rPr>
      </w:pPr>
      <w:r w:rsidRPr="00746F54">
        <w:rPr>
          <w:rFonts w:ascii="Arial" w:hAnsi="Arial" w:cs="Arial"/>
        </w:rPr>
        <w:t>• Process failure of bids</w:t>
      </w:r>
    </w:p>
    <w:p w14:paraId="2D10915D" w14:textId="77777777" w:rsidR="00930BA2" w:rsidRPr="00746F54" w:rsidRDefault="00930BA2" w:rsidP="00930BA2">
      <w:pPr>
        <w:pStyle w:val="ParaText"/>
        <w:spacing w:after="0"/>
        <w:ind w:left="720"/>
        <w:rPr>
          <w:rFonts w:ascii="Arial" w:hAnsi="Arial" w:cs="Arial"/>
        </w:rPr>
      </w:pPr>
      <w:r w:rsidRPr="00746F54">
        <w:rPr>
          <w:rFonts w:ascii="Arial" w:hAnsi="Arial" w:cs="Arial"/>
        </w:rPr>
        <w:t xml:space="preserve">• Achieving alternating current (AC) solutions over an extended </w:t>
      </w:r>
      <w:proofErr w:type="gramStart"/>
      <w:r w:rsidRPr="00746F54">
        <w:rPr>
          <w:rFonts w:ascii="Arial" w:hAnsi="Arial" w:cs="Arial"/>
        </w:rPr>
        <w:t>period of time</w:t>
      </w:r>
      <w:proofErr w:type="gramEnd"/>
    </w:p>
    <w:p w14:paraId="6FA573A0" w14:textId="77777777" w:rsidR="00930BA2" w:rsidRPr="00746F54" w:rsidRDefault="00930BA2" w:rsidP="00930BA2">
      <w:pPr>
        <w:pStyle w:val="ParaText"/>
        <w:spacing w:after="0"/>
        <w:ind w:left="720"/>
        <w:rPr>
          <w:rFonts w:ascii="Arial" w:hAnsi="Arial" w:cs="Arial"/>
        </w:rPr>
      </w:pPr>
      <w:r w:rsidRPr="00746F54">
        <w:rPr>
          <w:rFonts w:ascii="Arial" w:hAnsi="Arial" w:cs="Arial"/>
        </w:rPr>
        <w:t xml:space="preserve">• Enforcement of natural gas constraint(s) </w:t>
      </w:r>
    </w:p>
    <w:p w14:paraId="3951AEF8" w14:textId="72EE8A71" w:rsidR="00930BA2" w:rsidRPr="00746F54" w:rsidRDefault="00930BA2" w:rsidP="00930BA2">
      <w:pPr>
        <w:pStyle w:val="ParaText"/>
        <w:spacing w:after="0"/>
        <w:ind w:left="720"/>
        <w:rPr>
          <w:rFonts w:ascii="Arial" w:hAnsi="Arial" w:cs="Arial"/>
        </w:rPr>
      </w:pPr>
      <w:r w:rsidRPr="00746F54">
        <w:rPr>
          <w:rFonts w:ascii="Arial" w:hAnsi="Arial" w:cs="Arial"/>
        </w:rPr>
        <w:t>• Where not taking such action may affect system reliability or grid operations</w:t>
      </w:r>
    </w:p>
    <w:p w14:paraId="0DB24507" w14:textId="77777777" w:rsidR="00930BA2" w:rsidRPr="00746F54" w:rsidRDefault="00930BA2" w:rsidP="00930BA2">
      <w:pPr>
        <w:pStyle w:val="ParaText"/>
        <w:spacing w:after="0"/>
        <w:rPr>
          <w:rFonts w:ascii="Arial" w:hAnsi="Arial" w:cs="Arial"/>
        </w:rPr>
      </w:pPr>
    </w:p>
    <w:p w14:paraId="0B0EC45C" w14:textId="2F6666A2" w:rsidR="00930BA2" w:rsidRPr="00746F54" w:rsidRDefault="00930BA2" w:rsidP="00930BA2">
      <w:pPr>
        <w:pStyle w:val="ParaText"/>
        <w:spacing w:after="0"/>
        <w:rPr>
          <w:rFonts w:ascii="Arial" w:hAnsi="Arial" w:cs="Arial"/>
        </w:rPr>
      </w:pPr>
      <w:r w:rsidRPr="00746F54">
        <w:rPr>
          <w:rFonts w:ascii="Arial" w:hAnsi="Arial" w:cs="Arial"/>
        </w:rPr>
        <w:t>Should suspension of convergence bidding be determined necessary</w:t>
      </w:r>
      <w:r w:rsidR="001A37C9">
        <w:rPr>
          <w:rFonts w:ascii="Arial" w:hAnsi="Arial" w:cs="Arial"/>
        </w:rPr>
        <w:t xml:space="preserve"> by the CAISO BA</w:t>
      </w:r>
      <w:r w:rsidRPr="00746F54">
        <w:rPr>
          <w:rFonts w:ascii="Arial" w:hAnsi="Arial" w:cs="Arial"/>
        </w:rPr>
        <w:t xml:space="preserve">, the market operator shall send a market message that the Day-Ahead market will note process convergence bids on the desired </w:t>
      </w:r>
      <w:proofErr w:type="spellStart"/>
      <w:r w:rsidRPr="00746F54">
        <w:rPr>
          <w:rFonts w:ascii="Arial" w:hAnsi="Arial" w:cs="Arial"/>
        </w:rPr>
        <w:t>Pnode</w:t>
      </w:r>
      <w:proofErr w:type="spellEnd"/>
      <w:r w:rsidRPr="00746F54">
        <w:rPr>
          <w:rFonts w:ascii="Arial" w:hAnsi="Arial" w:cs="Arial"/>
        </w:rPr>
        <w:t xml:space="preserve"> list.  In addition, per Tariff requirements, within two business days, the CAISO will provide information justifying the decision to suspend or limit convergence bidding.   </w:t>
      </w:r>
    </w:p>
    <w:p w14:paraId="508FB458" w14:textId="77777777" w:rsidR="00930BA2" w:rsidRPr="00746F54" w:rsidRDefault="00930BA2" w:rsidP="00930BA2">
      <w:pPr>
        <w:pStyle w:val="ParaText"/>
        <w:spacing w:after="0"/>
        <w:rPr>
          <w:rFonts w:ascii="Arial" w:hAnsi="Arial" w:cs="Arial"/>
        </w:rPr>
      </w:pPr>
    </w:p>
    <w:p w14:paraId="7681466D" w14:textId="2D96E1B0" w:rsidR="00930BA2" w:rsidRPr="00746F54" w:rsidRDefault="00930BA2" w:rsidP="00930BA2">
      <w:pPr>
        <w:pStyle w:val="BPM"/>
        <w:spacing w:after="0"/>
        <w:rPr>
          <w:rFonts w:ascii="Arial" w:hAnsi="Arial"/>
        </w:rPr>
      </w:pPr>
      <w:r w:rsidRPr="00746F54">
        <w:rPr>
          <w:rFonts w:ascii="Arial" w:hAnsi="Arial"/>
        </w:rPr>
        <w:lastRenderedPageBreak/>
        <w:t>To ensure AC convergence under virtual bidding, the market operator may enforce a nodal group MW limit constraint on a location basis to limit the volume of bids at a particular location or set of locations.  These nodal group MW limits will only be used when an AC solution is not attainable within the IFM before the Day-Ahead Market clears. When a nodal group MW limit enforcement is needed, it will be applied to the total flow affected by both physical and virtual bids.  For more information, see section 3.1.11 Nodal Group Limit Constraints in the Market Operations BPM.</w:t>
      </w:r>
    </w:p>
    <w:p w14:paraId="5514D7D4" w14:textId="77777777" w:rsidR="00930BA2" w:rsidRPr="00746F54" w:rsidRDefault="00930BA2" w:rsidP="00930BA2">
      <w:pPr>
        <w:pStyle w:val="BPM"/>
        <w:spacing w:after="0"/>
        <w:rPr>
          <w:rFonts w:ascii="Arial" w:hAnsi="Arial"/>
        </w:rPr>
      </w:pPr>
    </w:p>
    <w:p w14:paraId="1187AD50" w14:textId="4131748F" w:rsidR="00930BA2" w:rsidRPr="00746F54" w:rsidRDefault="00930BA2" w:rsidP="00930BA2">
      <w:pPr>
        <w:pStyle w:val="Heading2"/>
        <w:rPr>
          <w:rFonts w:ascii="Arial" w:hAnsi="Arial" w:cs="Arial"/>
        </w:rPr>
      </w:pPr>
      <w:bookmarkStart w:id="180" w:name="_Toc211337944"/>
      <w:bookmarkStart w:id="181" w:name="_Toc228963725"/>
      <w:r w:rsidRPr="00746F54">
        <w:rPr>
          <w:rFonts w:ascii="Arial" w:hAnsi="Arial" w:cs="Arial"/>
        </w:rPr>
        <w:t>Market Run Considerations</w:t>
      </w:r>
      <w:bookmarkEnd w:id="180"/>
      <w:bookmarkEnd w:id="181"/>
    </w:p>
    <w:p w14:paraId="1D109800" w14:textId="77777777" w:rsidR="00930BA2" w:rsidRPr="00746F54" w:rsidRDefault="00930BA2" w:rsidP="00930BA2">
      <w:pPr>
        <w:pStyle w:val="Heading3"/>
        <w:rPr>
          <w:rFonts w:ascii="Arial" w:hAnsi="Arial" w:cs="Arial"/>
        </w:rPr>
      </w:pPr>
      <w:bookmarkStart w:id="182" w:name="_Toc211337945"/>
      <w:bookmarkStart w:id="183" w:name="_Hlk210119938"/>
      <w:r w:rsidRPr="00746F54">
        <w:rPr>
          <w:rFonts w:ascii="Arial" w:hAnsi="Arial" w:cs="Arial"/>
        </w:rPr>
        <w:t>Holding the market open SIBR outage between 0900-1000</w:t>
      </w:r>
      <w:bookmarkEnd w:id="182"/>
    </w:p>
    <w:p w14:paraId="20A40BD9" w14:textId="77777777" w:rsidR="00930BA2" w:rsidRPr="00746F54" w:rsidRDefault="00930BA2" w:rsidP="00930BA2">
      <w:pPr>
        <w:rPr>
          <w:rFonts w:ascii="Arial" w:hAnsi="Arial" w:cs="Arial"/>
        </w:rPr>
      </w:pPr>
      <w:r w:rsidRPr="00746F54">
        <w:rPr>
          <w:rFonts w:ascii="Arial" w:hAnsi="Arial" w:cs="Arial"/>
        </w:rPr>
        <w:t xml:space="preserve">For equal opportunity for all EDAM participants to bid fairly into the Day-Ahead market, any interruption to the EDAM computer systems (e.g., SIBR), the market operator may hold open the Day-Ahead market per Tariff Section 31.6.1 Criteria for Temporary Waiver of Timing Requirements.   </w:t>
      </w:r>
    </w:p>
    <w:p w14:paraId="5067411F" w14:textId="77777777" w:rsidR="00930BA2" w:rsidRPr="00746F54" w:rsidRDefault="00930BA2" w:rsidP="00930BA2">
      <w:pPr>
        <w:rPr>
          <w:rFonts w:ascii="Arial" w:hAnsi="Arial" w:cs="Arial"/>
        </w:rPr>
      </w:pPr>
      <w:r w:rsidRPr="00746F54">
        <w:rPr>
          <w:rFonts w:ascii="Arial" w:hAnsi="Arial" w:cs="Arial"/>
        </w:rPr>
        <w:t xml:space="preserve">For the approximate </w:t>
      </w:r>
      <w:proofErr w:type="gramStart"/>
      <w:r w:rsidRPr="00746F54">
        <w:rPr>
          <w:rFonts w:ascii="Arial" w:hAnsi="Arial" w:cs="Arial"/>
        </w:rPr>
        <w:t>time period</w:t>
      </w:r>
      <w:proofErr w:type="gramEnd"/>
      <w:r w:rsidRPr="00746F54">
        <w:rPr>
          <w:rFonts w:ascii="Arial" w:hAnsi="Arial" w:cs="Arial"/>
        </w:rPr>
        <w:t xml:space="preserve"> between 09:00 and 10:00 PPT for the next trade day, the Day-Ahead market may be held open for as much as an equal time it was unavailable (i.e., for a 15-minute interruption the Day-Ahead market may be held open until 10:15 PPT).  The market should be held open for a fair amount of time for every entity to submit or adjust its bids.  The market operator will send details outlining the new market close timing in a market message and will close the market on that timeframe.</w:t>
      </w:r>
    </w:p>
    <w:p w14:paraId="243A326E" w14:textId="77777777" w:rsidR="00930BA2" w:rsidRPr="00746F54" w:rsidRDefault="00930BA2" w:rsidP="00930BA2">
      <w:pPr>
        <w:rPr>
          <w:rFonts w:ascii="Arial" w:hAnsi="Arial" w:cs="Arial"/>
        </w:rPr>
      </w:pPr>
      <w:r w:rsidRPr="00746F54">
        <w:rPr>
          <w:rFonts w:ascii="Arial" w:hAnsi="Arial" w:cs="Arial"/>
        </w:rPr>
        <w:t xml:space="preserve">If an individual EDAM entity reports issues submitting or validating bids but the CAISO has confirmed its systems are available and are working correctly, the Day-Ahead market should close as normal at 10:00 PPT.  All entities are encouraged to have back-up processes and procedures to ensure complete and accurate bidding should their 3rd party software fail.  </w:t>
      </w:r>
    </w:p>
    <w:p w14:paraId="67AD7C93" w14:textId="77777777" w:rsidR="00930BA2" w:rsidRPr="00746F54" w:rsidRDefault="00930BA2" w:rsidP="00930BA2">
      <w:pPr>
        <w:rPr>
          <w:rFonts w:ascii="Arial" w:hAnsi="Arial" w:cs="Arial"/>
        </w:rPr>
      </w:pPr>
      <w:r w:rsidRPr="00746F54">
        <w:rPr>
          <w:rFonts w:ascii="Arial" w:hAnsi="Arial" w:cs="Arial"/>
        </w:rPr>
        <w:t xml:space="preserve">However, should the absence of bids (e.g., all load bids from a participant from the given EDAM entity or other issues that could potentially prevent a successful Day-Ahead market execution) and, in turn, potentially affect System Reliability the subsequent day, then the Day-Ahead market may be held open for a reasonable time.  The market operator will send details on the new market close timing in a market message and will close the market on that timeframe.  This extra time is for the affected entity to complete its bidding to an acceptable or reasonable level on a case-by-case basis.   </w:t>
      </w:r>
    </w:p>
    <w:p w14:paraId="059112B6" w14:textId="77777777" w:rsidR="00930BA2" w:rsidRPr="00746F54" w:rsidRDefault="00930BA2" w:rsidP="00930BA2">
      <w:pPr>
        <w:pStyle w:val="Heading3"/>
        <w:rPr>
          <w:rFonts w:ascii="Arial" w:hAnsi="Arial" w:cs="Arial"/>
        </w:rPr>
      </w:pPr>
      <w:bookmarkStart w:id="184" w:name="_Toc211337946"/>
      <w:bookmarkEnd w:id="183"/>
      <w:r w:rsidRPr="00746F54">
        <w:rPr>
          <w:rFonts w:ascii="Arial" w:hAnsi="Arial" w:cs="Arial"/>
        </w:rPr>
        <w:t>Initial Conditions</w:t>
      </w:r>
      <w:bookmarkEnd w:id="184"/>
      <w:r w:rsidRPr="00746F54">
        <w:rPr>
          <w:rFonts w:ascii="Arial" w:hAnsi="Arial" w:cs="Arial"/>
        </w:rPr>
        <w:t xml:space="preserve"> </w:t>
      </w:r>
    </w:p>
    <w:p w14:paraId="29877489" w14:textId="6714C6EA" w:rsidR="00930BA2" w:rsidRPr="00746F54" w:rsidRDefault="00930BA2" w:rsidP="00930BA2">
      <w:pPr>
        <w:pStyle w:val="ParaText"/>
        <w:rPr>
          <w:rFonts w:ascii="Arial" w:hAnsi="Arial" w:cs="Arial"/>
        </w:rPr>
      </w:pPr>
      <w:r w:rsidRPr="00746F54">
        <w:rPr>
          <w:rFonts w:ascii="Arial" w:hAnsi="Arial" w:cs="Arial"/>
        </w:rPr>
        <w:t xml:space="preserve">Initial conditions </w:t>
      </w:r>
      <w:proofErr w:type="gramStart"/>
      <w:r w:rsidRPr="00746F54">
        <w:rPr>
          <w:rFonts w:ascii="Arial" w:hAnsi="Arial" w:cs="Arial"/>
        </w:rPr>
        <w:t>tracks</w:t>
      </w:r>
      <w:proofErr w:type="gramEnd"/>
      <w:r w:rsidRPr="00746F54">
        <w:rPr>
          <w:rFonts w:ascii="Arial" w:hAnsi="Arial" w:cs="Arial"/>
        </w:rPr>
        <w:t xml:space="preserve"> the last known online or offline status and duration of each resource at the starting point of the Day-Ahead market for all EDAM participants</w:t>
      </w:r>
      <w:r w:rsidR="001E1359">
        <w:rPr>
          <w:rFonts w:ascii="Arial" w:hAnsi="Arial" w:cs="Arial"/>
        </w:rPr>
        <w:t xml:space="preserve">, including any </w:t>
      </w:r>
      <w:r w:rsidR="00247DA9">
        <w:rPr>
          <w:rFonts w:ascii="Arial" w:hAnsi="Arial" w:cs="Arial"/>
        </w:rPr>
        <w:t xml:space="preserve">updates required for </w:t>
      </w:r>
      <w:r w:rsidR="001E1359">
        <w:rPr>
          <w:rFonts w:ascii="Arial" w:hAnsi="Arial" w:cs="Arial"/>
        </w:rPr>
        <w:t xml:space="preserve">Exceptional Dispatches/Manual Dispatches </w:t>
      </w:r>
      <w:r w:rsidR="00DF132C">
        <w:rPr>
          <w:rFonts w:ascii="Arial" w:hAnsi="Arial" w:cs="Arial"/>
        </w:rPr>
        <w:t xml:space="preserve">within the timeframe for </w:t>
      </w:r>
      <w:r w:rsidR="001E1359">
        <w:rPr>
          <w:rFonts w:ascii="Arial" w:hAnsi="Arial" w:cs="Arial"/>
        </w:rPr>
        <w:t>after Day Ahead publish</w:t>
      </w:r>
      <w:r w:rsidR="00DF132C">
        <w:rPr>
          <w:rFonts w:ascii="Arial" w:hAnsi="Arial" w:cs="Arial"/>
        </w:rPr>
        <w:t>es</w:t>
      </w:r>
      <w:r w:rsidR="001E1359">
        <w:rPr>
          <w:rFonts w:ascii="Arial" w:hAnsi="Arial" w:cs="Arial"/>
        </w:rPr>
        <w:t xml:space="preserve"> up to10:00am</w:t>
      </w:r>
      <w:r w:rsidR="00DF132C">
        <w:rPr>
          <w:rFonts w:ascii="Arial" w:hAnsi="Arial" w:cs="Arial"/>
        </w:rPr>
        <w:t>, Market Close</w:t>
      </w:r>
      <w:r w:rsidR="00247DA9">
        <w:rPr>
          <w:rFonts w:ascii="Arial" w:hAnsi="Arial" w:cs="Arial"/>
        </w:rPr>
        <w:t xml:space="preserve">.   These updates also included the projected </w:t>
      </w:r>
      <w:r w:rsidR="00247DA9">
        <w:rPr>
          <w:rFonts w:ascii="Arial" w:hAnsi="Arial" w:cs="Arial"/>
        </w:rPr>
        <w:lastRenderedPageBreak/>
        <w:t xml:space="preserve">State-of-Charge (SOC) for battery resources.   </w:t>
      </w:r>
      <w:r w:rsidRPr="00746F54">
        <w:rPr>
          <w:rFonts w:ascii="Arial" w:hAnsi="Arial" w:cs="Arial"/>
        </w:rPr>
        <w:t xml:space="preserve"> The market operator shall only adjust initial conditions based upon a data transfer </w:t>
      </w:r>
      <w:r w:rsidR="00247DA9">
        <w:rPr>
          <w:rFonts w:ascii="Arial" w:hAnsi="Arial" w:cs="Arial"/>
        </w:rPr>
        <w:t xml:space="preserve">or calculation </w:t>
      </w:r>
      <w:r w:rsidRPr="00746F54">
        <w:rPr>
          <w:rFonts w:ascii="Arial" w:hAnsi="Arial" w:cs="Arial"/>
        </w:rPr>
        <w:t xml:space="preserve">issue. For example, resource initial condition is online in 3x1 in HE24, for HE1 the next day, 3x1 is offline as well as 2x1, but plant level is online to 1x1 MW level.  As the only remaining configuration is 1x1, the market operator will make the correction to the initial condition to online 1x1. In addition, the market operator may also correct an infeasible initial condition such as, </w:t>
      </w:r>
      <w:r w:rsidRPr="00746F54">
        <w:rPr>
          <w:rFonts w:ascii="Arial" w:hAnsi="Arial" w:cs="Arial"/>
          <w:u w:val="single"/>
        </w:rPr>
        <w:t>i</w:t>
      </w:r>
      <w:r w:rsidRPr="00746F54">
        <w:rPr>
          <w:rFonts w:ascii="Arial" w:hAnsi="Arial" w:cs="Arial"/>
        </w:rPr>
        <w:t xml:space="preserve">f the resource is operating in 3x1 in HE24, which is not a shutdown capable configuration, and in HE1, the plant and configuration are offline, correct the initial conditions all to offline. </w:t>
      </w:r>
    </w:p>
    <w:p w14:paraId="0E80F333" w14:textId="411F06B2" w:rsidR="00930BA2" w:rsidRPr="00746F54" w:rsidRDefault="00930BA2" w:rsidP="00930BA2">
      <w:pPr>
        <w:pStyle w:val="PlainText"/>
        <w:rPr>
          <w:rFonts w:ascii="Arial" w:hAnsi="Arial" w:cs="Arial"/>
        </w:rPr>
      </w:pPr>
      <w:bookmarkStart w:id="185" w:name="_Hlk209593479"/>
      <w:r w:rsidRPr="00746F54">
        <w:rPr>
          <w:rFonts w:ascii="Arial" w:hAnsi="Arial" w:cs="Arial"/>
        </w:rPr>
        <w:t xml:space="preserve">A Self-Bridge determination process </w:t>
      </w:r>
      <w:bookmarkEnd w:id="185"/>
      <w:r w:rsidRPr="00746F54">
        <w:rPr>
          <w:rFonts w:ascii="Arial" w:hAnsi="Arial" w:cs="Arial"/>
        </w:rPr>
        <w:t xml:space="preserve">runs at 09:00 and for any resource that does not have prior Day-Ahead awards all the way up to HE24, then checks SIBR for the given resource. If the resource submitted a real time self-schedule for the remaining hours of the day, an update is made to the Day-Ahead initial condition.  </w:t>
      </w:r>
    </w:p>
    <w:p w14:paraId="03FE94D1" w14:textId="77777777" w:rsidR="00930BA2" w:rsidRPr="00746F54" w:rsidRDefault="00930BA2" w:rsidP="00930BA2">
      <w:pPr>
        <w:pStyle w:val="PlainText"/>
        <w:rPr>
          <w:rFonts w:ascii="Arial" w:hAnsi="Arial" w:cs="Arial"/>
        </w:rPr>
      </w:pPr>
    </w:p>
    <w:p w14:paraId="589FCC9F" w14:textId="77777777" w:rsidR="00930BA2" w:rsidRPr="00746F54" w:rsidRDefault="00930BA2" w:rsidP="00930BA2">
      <w:pPr>
        <w:pStyle w:val="PlainText"/>
        <w:rPr>
          <w:rFonts w:ascii="Arial" w:hAnsi="Arial" w:cs="Arial"/>
        </w:rPr>
      </w:pPr>
      <w:r w:rsidRPr="00746F54">
        <w:rPr>
          <w:rFonts w:ascii="Arial" w:hAnsi="Arial" w:cs="Arial"/>
        </w:rPr>
        <w:t>For example:</w:t>
      </w:r>
    </w:p>
    <w:p w14:paraId="0579E088" w14:textId="77777777" w:rsidR="00930BA2" w:rsidRPr="00746F54" w:rsidRDefault="00930BA2" w:rsidP="00930BA2">
      <w:pPr>
        <w:pStyle w:val="PlainText"/>
        <w:rPr>
          <w:rFonts w:ascii="Arial" w:hAnsi="Arial" w:cs="Arial"/>
        </w:rPr>
      </w:pPr>
    </w:p>
    <w:p w14:paraId="2FA7830B" w14:textId="596BA78F" w:rsidR="00930BA2" w:rsidRPr="00746F54" w:rsidRDefault="00930BA2" w:rsidP="00930BA2">
      <w:pPr>
        <w:pStyle w:val="PlainText"/>
        <w:rPr>
          <w:rFonts w:ascii="Arial" w:hAnsi="Arial" w:cs="Arial"/>
        </w:rPr>
      </w:pPr>
      <w:r w:rsidRPr="00746F54">
        <w:rPr>
          <w:rFonts w:ascii="Arial" w:hAnsi="Arial" w:cs="Arial"/>
        </w:rPr>
        <w:t>1. Resource has Day-Ahead awards HE01 to HE23.The gap of hours before HE24 cannot exceed the resource’s minimum down time (e.g., time in which the resource can cycle back online).</w:t>
      </w:r>
    </w:p>
    <w:p w14:paraId="485B1B55" w14:textId="77777777" w:rsidR="00930BA2" w:rsidRPr="00746F54" w:rsidRDefault="00930BA2" w:rsidP="00930BA2">
      <w:pPr>
        <w:pStyle w:val="PlainText"/>
        <w:rPr>
          <w:rFonts w:ascii="Arial" w:hAnsi="Arial" w:cs="Arial"/>
        </w:rPr>
      </w:pPr>
    </w:p>
    <w:p w14:paraId="6A3459A7" w14:textId="120806A6" w:rsidR="00930BA2" w:rsidRPr="00746F54" w:rsidRDefault="00930BA2" w:rsidP="00930BA2">
      <w:pPr>
        <w:pStyle w:val="PlainText"/>
        <w:rPr>
          <w:rFonts w:ascii="Arial" w:hAnsi="Arial" w:cs="Arial"/>
        </w:rPr>
      </w:pPr>
      <w:r w:rsidRPr="00746F54">
        <w:rPr>
          <w:rFonts w:ascii="Arial" w:hAnsi="Arial" w:cs="Arial"/>
        </w:rPr>
        <w:t xml:space="preserve">2. Before 09:00 they submit a real time self-schedule for HE24.  </w:t>
      </w:r>
    </w:p>
    <w:p w14:paraId="75604A56" w14:textId="77777777" w:rsidR="00930BA2" w:rsidRPr="00746F54" w:rsidRDefault="00930BA2" w:rsidP="00930BA2">
      <w:pPr>
        <w:pStyle w:val="PlainText"/>
        <w:rPr>
          <w:rFonts w:ascii="Arial" w:hAnsi="Arial" w:cs="Arial"/>
        </w:rPr>
      </w:pPr>
    </w:p>
    <w:p w14:paraId="0A10A9F3" w14:textId="6FB5E13C" w:rsidR="00930BA2" w:rsidRPr="00746F54" w:rsidRDefault="00930BA2" w:rsidP="00930BA2">
      <w:pPr>
        <w:pStyle w:val="PlainText"/>
        <w:rPr>
          <w:rFonts w:ascii="Arial" w:hAnsi="Arial" w:cs="Arial"/>
        </w:rPr>
      </w:pPr>
      <w:r w:rsidRPr="00746F54">
        <w:rPr>
          <w:rFonts w:ascii="Arial" w:hAnsi="Arial" w:cs="Arial"/>
        </w:rPr>
        <w:t xml:space="preserve">3. The market operator considers this an offer to stay online and changes the initial condition from Offline -- 60 minutes to Online -- 1440 minutes </w:t>
      </w:r>
      <w:r w:rsidR="00DF132C">
        <w:rPr>
          <w:rFonts w:ascii="Arial" w:hAnsi="Arial" w:cs="Arial"/>
        </w:rPr>
        <w:t>in the lowest MSG configuration or the generators’ Pmin.</w:t>
      </w:r>
      <w:r w:rsidRPr="00746F54">
        <w:rPr>
          <w:rFonts w:ascii="Arial" w:hAnsi="Arial" w:cs="Arial"/>
        </w:rPr>
        <w:t xml:space="preserve"> </w:t>
      </w:r>
    </w:p>
    <w:p w14:paraId="3C54878D" w14:textId="77777777" w:rsidR="00930BA2" w:rsidRPr="00746F54" w:rsidRDefault="00930BA2" w:rsidP="00930BA2">
      <w:pPr>
        <w:pStyle w:val="PlainText"/>
        <w:rPr>
          <w:rFonts w:ascii="Arial" w:hAnsi="Arial" w:cs="Arial"/>
        </w:rPr>
      </w:pPr>
    </w:p>
    <w:p w14:paraId="11E0EF83" w14:textId="19EAEC81" w:rsidR="00930BA2" w:rsidRPr="00746F54" w:rsidRDefault="00930BA2" w:rsidP="00930BA2">
      <w:pPr>
        <w:pStyle w:val="PlainText"/>
        <w:rPr>
          <w:rFonts w:ascii="Arial" w:hAnsi="Arial" w:cs="Arial"/>
        </w:rPr>
      </w:pPr>
      <w:r w:rsidRPr="00746F54">
        <w:rPr>
          <w:rFonts w:ascii="Arial" w:hAnsi="Arial" w:cs="Arial"/>
        </w:rPr>
        <w:t xml:space="preserve">4. In the RTPD look-Ahead horizon, RTPD observes the forthcoming Day-Ahead awards and keeps the resource online honoring any minimum down time. </w:t>
      </w:r>
    </w:p>
    <w:p w14:paraId="7D512C68" w14:textId="77777777" w:rsidR="00930BA2" w:rsidRPr="00746F54" w:rsidRDefault="00930BA2" w:rsidP="00930BA2">
      <w:pPr>
        <w:pStyle w:val="PlainText"/>
        <w:rPr>
          <w:rFonts w:ascii="Arial" w:hAnsi="Arial" w:cs="Arial"/>
        </w:rPr>
      </w:pPr>
    </w:p>
    <w:p w14:paraId="73C3B189" w14:textId="231FE6DC" w:rsidR="00930BA2" w:rsidRPr="00746F54" w:rsidRDefault="00930BA2" w:rsidP="00930BA2">
      <w:pPr>
        <w:pStyle w:val="PlainText"/>
        <w:rPr>
          <w:rFonts w:ascii="Arial" w:hAnsi="Arial" w:cs="Arial"/>
        </w:rPr>
      </w:pPr>
      <w:r w:rsidRPr="00746F54">
        <w:rPr>
          <w:rFonts w:ascii="Arial" w:hAnsi="Arial" w:cs="Arial"/>
        </w:rPr>
        <w:t>5. Should the Day-Ahead not award starting HE1</w:t>
      </w:r>
      <w:r w:rsidR="0042467F">
        <w:rPr>
          <w:rFonts w:ascii="Arial" w:hAnsi="Arial" w:cs="Arial"/>
        </w:rPr>
        <w:t>,</w:t>
      </w:r>
      <w:r w:rsidRPr="00746F54">
        <w:rPr>
          <w:rFonts w:ascii="Arial" w:hAnsi="Arial" w:cs="Arial"/>
        </w:rPr>
        <w:t xml:space="preserve"> the entity can remove the real time self-schedule.  It was only an offer to stay online for Day-Ahead consideration. </w:t>
      </w:r>
    </w:p>
    <w:p w14:paraId="5A14789E" w14:textId="77777777" w:rsidR="001E1359" w:rsidRPr="00746F54" w:rsidRDefault="001E1359" w:rsidP="00930BA2">
      <w:pPr>
        <w:pStyle w:val="PlainText"/>
        <w:rPr>
          <w:rFonts w:ascii="Arial" w:hAnsi="Arial" w:cs="Arial"/>
        </w:rPr>
      </w:pPr>
    </w:p>
    <w:p w14:paraId="43C4971C" w14:textId="5AEA1D4B" w:rsidR="00930BA2" w:rsidRDefault="001E1359" w:rsidP="00930BA2">
      <w:pPr>
        <w:pStyle w:val="PlainText"/>
        <w:rPr>
          <w:rFonts w:ascii="Arial" w:hAnsi="Arial" w:cs="Arial"/>
        </w:rPr>
      </w:pPr>
      <w:r>
        <w:rPr>
          <w:rFonts w:ascii="Arial" w:hAnsi="Arial" w:cs="Arial"/>
        </w:rPr>
        <w:t>Further details on the Self-Bridge process may be found in the Market Operations BPM Section 6.1.9 Initial Conditions.</w:t>
      </w:r>
    </w:p>
    <w:p w14:paraId="373E2448" w14:textId="77777777" w:rsidR="008826F7" w:rsidRDefault="008826F7" w:rsidP="00930BA2">
      <w:pPr>
        <w:pStyle w:val="PlainText"/>
        <w:rPr>
          <w:rFonts w:ascii="Arial" w:hAnsi="Arial" w:cs="Arial"/>
        </w:rPr>
      </w:pPr>
    </w:p>
    <w:p w14:paraId="6919797F" w14:textId="77777777" w:rsidR="008826F7" w:rsidRPr="008826F7" w:rsidRDefault="008826F7" w:rsidP="008826F7">
      <w:pPr>
        <w:pStyle w:val="PlainText"/>
        <w:rPr>
          <w:rFonts w:ascii="Arial" w:hAnsi="Arial" w:cs="Arial"/>
          <w:b/>
          <w:bCs/>
        </w:rPr>
      </w:pPr>
      <w:r w:rsidRPr="008826F7">
        <w:rPr>
          <w:rFonts w:ascii="Arial" w:hAnsi="Arial" w:cs="Arial"/>
          <w:b/>
          <w:bCs/>
        </w:rPr>
        <w:t>Initial Conditions and Self Scheduling in HE1</w:t>
      </w:r>
    </w:p>
    <w:p w14:paraId="1156E750" w14:textId="77777777" w:rsidR="008826F7" w:rsidRPr="008826F7" w:rsidRDefault="008826F7" w:rsidP="008826F7">
      <w:pPr>
        <w:pStyle w:val="PlainText"/>
        <w:rPr>
          <w:rFonts w:ascii="Arial" w:hAnsi="Arial" w:cs="Arial"/>
        </w:rPr>
      </w:pPr>
    </w:p>
    <w:p w14:paraId="10373060" w14:textId="4DF4AA4C" w:rsidR="008826F7" w:rsidRDefault="008826F7" w:rsidP="008826F7">
      <w:pPr>
        <w:pStyle w:val="PlainText"/>
        <w:spacing w:line="300" w:lineRule="auto"/>
        <w:rPr>
          <w:rFonts w:ascii="Arial" w:hAnsi="Arial" w:cs="Arial"/>
        </w:rPr>
      </w:pPr>
      <w:r w:rsidRPr="008826F7">
        <w:rPr>
          <w:rFonts w:ascii="Arial" w:hAnsi="Arial" w:cs="Arial"/>
        </w:rPr>
        <w:t xml:space="preserve">The Initial Condition for each generating resource shall reflect the status indicated in the Scheduling Coordinator’s HE1 </w:t>
      </w:r>
      <w:proofErr w:type="spellStart"/>
      <w:r w:rsidRPr="008826F7">
        <w:rPr>
          <w:rFonts w:ascii="Arial" w:hAnsi="Arial" w:cs="Arial"/>
        </w:rPr>
        <w:t>self schedule</w:t>
      </w:r>
      <w:proofErr w:type="spellEnd"/>
      <w:r w:rsidRPr="008826F7">
        <w:rPr>
          <w:rFonts w:ascii="Arial" w:hAnsi="Arial" w:cs="Arial"/>
        </w:rPr>
        <w:t xml:space="preserve"> submitted prior to the binding Day Ahead market run for the next operating day. Scheduling Coordinators may submit a Day Ahead HE1 </w:t>
      </w:r>
      <w:proofErr w:type="spellStart"/>
      <w:r w:rsidRPr="008826F7">
        <w:rPr>
          <w:rFonts w:ascii="Arial" w:hAnsi="Arial" w:cs="Arial"/>
        </w:rPr>
        <w:t>self schedule</w:t>
      </w:r>
      <w:proofErr w:type="spellEnd"/>
      <w:r w:rsidRPr="008826F7">
        <w:rPr>
          <w:rFonts w:ascii="Arial" w:hAnsi="Arial" w:cs="Arial"/>
        </w:rPr>
        <w:t xml:space="preserve"> specifying whether the resource is expected to be online or offline, along with any anticipated MSG configuration changes, whether increases or decreases. Scheduling Coordinators are responsible for ensuring that all submitted </w:t>
      </w:r>
      <w:proofErr w:type="spellStart"/>
      <w:r w:rsidRPr="008826F7">
        <w:rPr>
          <w:rFonts w:ascii="Arial" w:hAnsi="Arial" w:cs="Arial"/>
        </w:rPr>
        <w:t>self schedules</w:t>
      </w:r>
      <w:proofErr w:type="spellEnd"/>
      <w:r w:rsidRPr="008826F7">
        <w:rPr>
          <w:rFonts w:ascii="Arial" w:hAnsi="Arial" w:cs="Arial"/>
        </w:rPr>
        <w:t xml:space="preserve"> are feasible, </w:t>
      </w:r>
      <w:r w:rsidRPr="008826F7">
        <w:rPr>
          <w:rFonts w:ascii="Arial" w:hAnsi="Arial" w:cs="Arial"/>
        </w:rPr>
        <w:lastRenderedPageBreak/>
        <w:t xml:space="preserve">including compliance with minimum run time requirements and any applicable outages. Initial Condition updates begin before the 06:00 Advisory RSE run and are refreshed in each subsequent RSE advisory run, as well as prior to the 10:00 Binding RSE run and the subsequent market execution. If a Scheduling Coordinator submits both a Day Ahead HE1 </w:t>
      </w:r>
      <w:proofErr w:type="spellStart"/>
      <w:r w:rsidRPr="008826F7">
        <w:rPr>
          <w:rFonts w:ascii="Arial" w:hAnsi="Arial" w:cs="Arial"/>
        </w:rPr>
        <w:t>self schedule</w:t>
      </w:r>
      <w:proofErr w:type="spellEnd"/>
      <w:r w:rsidRPr="008826F7">
        <w:rPr>
          <w:rFonts w:ascii="Arial" w:hAnsi="Arial" w:cs="Arial"/>
        </w:rPr>
        <w:t xml:space="preserve"> and a Real Time </w:t>
      </w:r>
      <w:proofErr w:type="spellStart"/>
      <w:r w:rsidRPr="008826F7">
        <w:rPr>
          <w:rFonts w:ascii="Arial" w:hAnsi="Arial" w:cs="Arial"/>
        </w:rPr>
        <w:t>self schedule</w:t>
      </w:r>
      <w:proofErr w:type="spellEnd"/>
      <w:r w:rsidRPr="008826F7">
        <w:rPr>
          <w:rFonts w:ascii="Arial" w:hAnsi="Arial" w:cs="Arial"/>
        </w:rPr>
        <w:t xml:space="preserve"> through the </w:t>
      </w:r>
      <w:proofErr w:type="spellStart"/>
      <w:r w:rsidRPr="008826F7">
        <w:rPr>
          <w:rFonts w:ascii="Arial" w:hAnsi="Arial" w:cs="Arial"/>
        </w:rPr>
        <w:t>self bridging</w:t>
      </w:r>
      <w:proofErr w:type="spellEnd"/>
      <w:r w:rsidRPr="008826F7">
        <w:rPr>
          <w:rFonts w:ascii="Arial" w:hAnsi="Arial" w:cs="Arial"/>
        </w:rPr>
        <w:t xml:space="preserve"> process, and the two differ, the Real Time </w:t>
      </w:r>
      <w:proofErr w:type="spellStart"/>
      <w:r w:rsidRPr="008826F7">
        <w:rPr>
          <w:rFonts w:ascii="Arial" w:hAnsi="Arial" w:cs="Arial"/>
        </w:rPr>
        <w:t>self bridge</w:t>
      </w:r>
      <w:proofErr w:type="spellEnd"/>
      <w:r w:rsidRPr="008826F7">
        <w:rPr>
          <w:rFonts w:ascii="Arial" w:hAnsi="Arial" w:cs="Arial"/>
        </w:rPr>
        <w:t xml:space="preserve"> schedule prevails as described in Section 6.19 IFM Initial Conditions in the Market Operations BPM.</w:t>
      </w:r>
    </w:p>
    <w:p w14:paraId="741E1B4E" w14:textId="77777777" w:rsidR="00737CD1" w:rsidRDefault="00737CD1" w:rsidP="008826F7">
      <w:pPr>
        <w:pStyle w:val="PlainText"/>
        <w:spacing w:line="300" w:lineRule="auto"/>
        <w:rPr>
          <w:rFonts w:ascii="Arial" w:hAnsi="Arial" w:cs="Arial"/>
        </w:rPr>
      </w:pPr>
    </w:p>
    <w:p w14:paraId="20F502F4" w14:textId="5898A8C1" w:rsidR="00737CD1" w:rsidRPr="00737CD1" w:rsidRDefault="00737CD1" w:rsidP="00737CD1">
      <w:pPr>
        <w:rPr>
          <w:rFonts w:ascii="Arial" w:hAnsi="Arial" w:cs="Arial"/>
        </w:rPr>
      </w:pPr>
      <w:r w:rsidRPr="00737CD1">
        <w:rPr>
          <w:rFonts w:ascii="Arial" w:hAnsi="Arial" w:cs="Arial"/>
        </w:rPr>
        <w:t>Enhancement Logic</w:t>
      </w:r>
      <w:r>
        <w:rPr>
          <w:rFonts w:ascii="Arial" w:hAnsi="Arial" w:cs="Arial"/>
        </w:rPr>
        <w:t xml:space="preserve"> Detail</w:t>
      </w:r>
    </w:p>
    <w:p w14:paraId="0D26D3BB" w14:textId="77777777" w:rsidR="00737CD1" w:rsidRPr="00737CD1" w:rsidRDefault="00737CD1" w:rsidP="00737CD1">
      <w:pPr>
        <w:pStyle w:val="ListParagraph"/>
        <w:numPr>
          <w:ilvl w:val="0"/>
          <w:numId w:val="154"/>
        </w:numPr>
        <w:spacing w:line="278" w:lineRule="auto"/>
        <w:contextualSpacing/>
        <w:rPr>
          <w:rFonts w:ascii="Arial" w:hAnsi="Arial" w:cs="Arial"/>
        </w:rPr>
      </w:pPr>
      <w:r w:rsidRPr="00737CD1">
        <w:rPr>
          <w:rFonts w:ascii="Arial" w:hAnsi="Arial" w:cs="Arial"/>
        </w:rPr>
        <w:t>Limit the Initial Condition update logic from the HE1 Self-Schedule to only execute upon:</w:t>
      </w:r>
    </w:p>
    <w:p w14:paraId="25955206" w14:textId="77777777" w:rsidR="00737CD1" w:rsidRPr="00737CD1" w:rsidRDefault="00737CD1" w:rsidP="00737CD1">
      <w:pPr>
        <w:pStyle w:val="ListParagraph"/>
        <w:numPr>
          <w:ilvl w:val="1"/>
          <w:numId w:val="154"/>
        </w:numPr>
        <w:spacing w:line="278" w:lineRule="auto"/>
        <w:contextualSpacing/>
        <w:rPr>
          <w:rFonts w:ascii="Arial" w:hAnsi="Arial" w:cs="Arial"/>
        </w:rPr>
      </w:pPr>
      <w:r w:rsidRPr="00737CD1">
        <w:rPr>
          <w:rFonts w:ascii="Arial" w:hAnsi="Arial" w:cs="Arial"/>
        </w:rPr>
        <w:t>A difference between the Initial Condition Online or Offline status:</w:t>
      </w:r>
    </w:p>
    <w:p w14:paraId="6C7886A5" w14:textId="77777777" w:rsidR="00737CD1" w:rsidRPr="00737CD1" w:rsidRDefault="00737CD1" w:rsidP="00737CD1">
      <w:pPr>
        <w:pStyle w:val="ListParagraph"/>
        <w:numPr>
          <w:ilvl w:val="2"/>
          <w:numId w:val="154"/>
        </w:numPr>
        <w:spacing w:line="278" w:lineRule="auto"/>
        <w:contextualSpacing/>
        <w:rPr>
          <w:rFonts w:ascii="Arial" w:hAnsi="Arial" w:cs="Arial"/>
        </w:rPr>
      </w:pPr>
      <w:r w:rsidRPr="00737CD1">
        <w:rPr>
          <w:rFonts w:ascii="Arial" w:hAnsi="Arial" w:cs="Arial"/>
        </w:rPr>
        <w:t>For MSG Resources, an HE1 non-zero MW Self Schedule triggers an update to the Initial Condition only if the Self Schedule is in a different MSG Configuration than the original Initial Condition.  More specifically:</w:t>
      </w:r>
    </w:p>
    <w:p w14:paraId="66D2594E" w14:textId="77777777" w:rsidR="00737CD1" w:rsidRPr="00737CD1" w:rsidRDefault="00737CD1" w:rsidP="00737CD1">
      <w:pPr>
        <w:pStyle w:val="ListParagraph"/>
        <w:numPr>
          <w:ilvl w:val="3"/>
          <w:numId w:val="154"/>
        </w:numPr>
        <w:spacing w:line="278" w:lineRule="auto"/>
        <w:contextualSpacing/>
        <w:rPr>
          <w:rFonts w:ascii="Arial" w:hAnsi="Arial" w:cs="Arial"/>
        </w:rPr>
      </w:pPr>
      <w:r w:rsidRPr="00737CD1">
        <w:rPr>
          <w:rFonts w:ascii="Arial" w:hAnsi="Arial" w:cs="Arial"/>
        </w:rPr>
        <w:t xml:space="preserve">If in the same MSG Configuration: </w:t>
      </w:r>
    </w:p>
    <w:p w14:paraId="2EB8FECC"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No change to Initial Condition</w:t>
      </w:r>
    </w:p>
    <w:p w14:paraId="0A139C73" w14:textId="77777777" w:rsidR="00737CD1" w:rsidRPr="00737CD1" w:rsidRDefault="00737CD1" w:rsidP="00737CD1">
      <w:pPr>
        <w:pStyle w:val="ListParagraph"/>
        <w:numPr>
          <w:ilvl w:val="3"/>
          <w:numId w:val="154"/>
        </w:numPr>
        <w:spacing w:line="278" w:lineRule="auto"/>
        <w:contextualSpacing/>
        <w:rPr>
          <w:rFonts w:ascii="Arial" w:hAnsi="Arial" w:cs="Arial"/>
        </w:rPr>
      </w:pPr>
      <w:r w:rsidRPr="00737CD1">
        <w:rPr>
          <w:rFonts w:ascii="Arial" w:hAnsi="Arial" w:cs="Arial"/>
        </w:rPr>
        <w:t xml:space="preserve">If in different MSG Configuration:  </w:t>
      </w:r>
    </w:p>
    <w:p w14:paraId="2D658E11"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Change Initial Condition to the new MSG Configuration as “Online” to match HE1 Self Schedule</w:t>
      </w:r>
    </w:p>
    <w:p w14:paraId="2C07F50C"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Set the MWs equal to the given HE1 Self-Schedule</w:t>
      </w:r>
    </w:p>
    <w:p w14:paraId="4850A327"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 xml:space="preserve">Set the Duration (in minutes) equal to the resource’s </w:t>
      </w:r>
      <w:proofErr w:type="spellStart"/>
      <w:r w:rsidRPr="00737CD1">
        <w:rPr>
          <w:rFonts w:ascii="Arial" w:hAnsi="Arial" w:cs="Arial"/>
        </w:rPr>
        <w:t>MasterFile</w:t>
      </w:r>
      <w:proofErr w:type="spellEnd"/>
      <w:r w:rsidRPr="00737CD1">
        <w:rPr>
          <w:rFonts w:ascii="Arial" w:hAnsi="Arial" w:cs="Arial"/>
        </w:rPr>
        <w:t xml:space="preserve"> Minimum Run Time (to all allow for any subsequent MSG transitions with the Minimum Run time honored).</w:t>
      </w:r>
    </w:p>
    <w:p w14:paraId="588FE82E" w14:textId="77777777" w:rsidR="00737CD1" w:rsidRPr="00737CD1" w:rsidRDefault="00737CD1" w:rsidP="00737CD1">
      <w:pPr>
        <w:pStyle w:val="ListParagraph"/>
        <w:numPr>
          <w:ilvl w:val="2"/>
          <w:numId w:val="154"/>
        </w:numPr>
        <w:spacing w:line="278" w:lineRule="auto"/>
        <w:contextualSpacing/>
        <w:rPr>
          <w:rFonts w:ascii="Arial" w:hAnsi="Arial" w:cs="Arial"/>
        </w:rPr>
      </w:pPr>
      <w:r w:rsidRPr="00737CD1">
        <w:rPr>
          <w:rFonts w:ascii="Arial" w:hAnsi="Arial" w:cs="Arial"/>
        </w:rPr>
        <w:t>For non-MSG resources:</w:t>
      </w:r>
    </w:p>
    <w:p w14:paraId="23CB24D3" w14:textId="77777777" w:rsidR="00737CD1" w:rsidRPr="00737CD1" w:rsidRDefault="00737CD1" w:rsidP="00737CD1">
      <w:pPr>
        <w:pStyle w:val="ListParagraph"/>
        <w:numPr>
          <w:ilvl w:val="3"/>
          <w:numId w:val="154"/>
        </w:numPr>
        <w:spacing w:line="278" w:lineRule="auto"/>
        <w:contextualSpacing/>
        <w:rPr>
          <w:rFonts w:ascii="Arial" w:hAnsi="Arial" w:cs="Arial"/>
        </w:rPr>
      </w:pPr>
      <w:r w:rsidRPr="00737CD1">
        <w:rPr>
          <w:rFonts w:ascii="Arial" w:hAnsi="Arial" w:cs="Arial"/>
        </w:rPr>
        <w:t>Where the Initial Condition is “Offline”:</w:t>
      </w:r>
    </w:p>
    <w:p w14:paraId="43506CA6"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 xml:space="preserve">Change Initial Condition to “Online” to match a submitted HE1 Self Schedule </w:t>
      </w:r>
    </w:p>
    <w:p w14:paraId="7F64E668"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Set the MWs equal to the given HE1 Self-Schedule</w:t>
      </w:r>
    </w:p>
    <w:p w14:paraId="5CE81645"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No change to the Duration</w:t>
      </w:r>
    </w:p>
    <w:p w14:paraId="4EAB43E3" w14:textId="77777777" w:rsidR="00737CD1" w:rsidRPr="00737CD1" w:rsidRDefault="00737CD1" w:rsidP="00737CD1">
      <w:pPr>
        <w:pStyle w:val="ListParagraph"/>
        <w:numPr>
          <w:ilvl w:val="3"/>
          <w:numId w:val="154"/>
        </w:numPr>
        <w:spacing w:line="278" w:lineRule="auto"/>
        <w:contextualSpacing/>
        <w:rPr>
          <w:rFonts w:ascii="Arial" w:hAnsi="Arial" w:cs="Arial"/>
        </w:rPr>
      </w:pPr>
      <w:r w:rsidRPr="00737CD1">
        <w:rPr>
          <w:rFonts w:ascii="Arial" w:hAnsi="Arial" w:cs="Arial"/>
        </w:rPr>
        <w:t xml:space="preserve">Where the Initial Condition is “Online” </w:t>
      </w:r>
    </w:p>
    <w:p w14:paraId="1B5827BF" w14:textId="77777777" w:rsidR="00737CD1" w:rsidRPr="00737CD1" w:rsidRDefault="00737CD1" w:rsidP="00737CD1">
      <w:pPr>
        <w:pStyle w:val="ListParagraph"/>
        <w:numPr>
          <w:ilvl w:val="4"/>
          <w:numId w:val="154"/>
        </w:numPr>
        <w:spacing w:line="278" w:lineRule="auto"/>
        <w:contextualSpacing/>
        <w:rPr>
          <w:rFonts w:ascii="Arial" w:hAnsi="Arial" w:cs="Arial"/>
        </w:rPr>
      </w:pPr>
      <w:r w:rsidRPr="00737CD1">
        <w:rPr>
          <w:rFonts w:ascii="Arial" w:hAnsi="Arial" w:cs="Arial"/>
        </w:rPr>
        <w:t>No change to the Initial Condition</w:t>
      </w:r>
    </w:p>
    <w:p w14:paraId="63EF08E4" w14:textId="77777777" w:rsidR="001E1359" w:rsidRPr="00746F54" w:rsidRDefault="001E1359" w:rsidP="00930BA2">
      <w:pPr>
        <w:pStyle w:val="PlainText"/>
        <w:rPr>
          <w:rFonts w:ascii="Arial" w:hAnsi="Arial" w:cs="Arial"/>
        </w:rPr>
      </w:pPr>
    </w:p>
    <w:p w14:paraId="452ACCFD" w14:textId="3A08B70F" w:rsidR="00F77716" w:rsidRPr="0097362D" w:rsidRDefault="00F77716" w:rsidP="00AA79F2">
      <w:pPr>
        <w:pStyle w:val="Heading2"/>
      </w:pPr>
      <w:bookmarkStart w:id="186" w:name="_Toc211337947"/>
      <w:bookmarkStart w:id="187" w:name="_Toc228963726"/>
      <w:r w:rsidRPr="0097362D">
        <w:t>Bids from External Resources</w:t>
      </w:r>
      <w:bookmarkEnd w:id="186"/>
      <w:bookmarkEnd w:id="187"/>
    </w:p>
    <w:p w14:paraId="665F4274" w14:textId="340A547F" w:rsidR="00F77716" w:rsidRPr="00746F54" w:rsidRDefault="00F77716" w:rsidP="00F77716">
      <w:pPr>
        <w:pStyle w:val="ParaText"/>
        <w:rPr>
          <w:rFonts w:ascii="Arial" w:hAnsi="Arial" w:cs="Arial"/>
          <w:u w:val="single"/>
        </w:rPr>
      </w:pPr>
      <w:r w:rsidRPr="00746F54">
        <w:rPr>
          <w:rFonts w:ascii="Arial" w:hAnsi="Arial" w:cs="Arial"/>
          <w:u w:val="single"/>
        </w:rPr>
        <w:t>Reference tariff section 33.30.8.</w:t>
      </w:r>
    </w:p>
    <w:p w14:paraId="4E6F0D5C" w14:textId="782A84DB" w:rsidR="00F77716" w:rsidRPr="0097362D" w:rsidRDefault="00F77716" w:rsidP="00AA79F2">
      <w:pPr>
        <w:pStyle w:val="Heading2"/>
      </w:pPr>
      <w:bookmarkStart w:id="188" w:name="_Toc211337948"/>
      <w:bookmarkStart w:id="189" w:name="_Toc228963727"/>
      <w:r w:rsidRPr="0097362D">
        <w:t>Base Schedules Replaced by Day-Ahead Schedules</w:t>
      </w:r>
      <w:bookmarkEnd w:id="188"/>
      <w:bookmarkEnd w:id="189"/>
    </w:p>
    <w:p w14:paraId="0BE61BB5" w14:textId="57E17292" w:rsidR="002F56FE" w:rsidRPr="00746F54" w:rsidRDefault="002F56FE" w:rsidP="002F56FE">
      <w:pPr>
        <w:pStyle w:val="ParaText"/>
        <w:rPr>
          <w:rFonts w:ascii="Arial" w:hAnsi="Arial" w:cs="Arial"/>
          <w:u w:val="single"/>
        </w:rPr>
      </w:pPr>
      <w:r w:rsidRPr="00746F54">
        <w:rPr>
          <w:rFonts w:ascii="Arial" w:hAnsi="Arial" w:cs="Arial"/>
          <w:u w:val="single"/>
        </w:rPr>
        <w:t>Reference tariff section 33.30.9.</w:t>
      </w:r>
    </w:p>
    <w:p w14:paraId="605CC67B" w14:textId="77777777" w:rsidR="00337AE2" w:rsidRPr="00746F54" w:rsidRDefault="00337AE2" w:rsidP="002F56FE">
      <w:pPr>
        <w:pStyle w:val="ParaText"/>
        <w:rPr>
          <w:rFonts w:ascii="Arial" w:hAnsi="Arial" w:cs="Arial"/>
        </w:rPr>
      </w:pPr>
      <w:r w:rsidRPr="00746F54">
        <w:rPr>
          <w:rFonts w:ascii="Arial" w:hAnsi="Arial" w:cs="Arial"/>
        </w:rPr>
        <w:lastRenderedPageBreak/>
        <w:t xml:space="preserve">With participation in EDAM, the EDAM Entity Scheduling Coordinator will no longer submit EIM Base Schedules into the Real-Time Market.  The Day-Ahead Schedules for the EDAM Entity Balancing Authority Area will be used for the EIM Entity Balancing Authority Area in the Real-Time Market rather than submitted EIM Base Schedules and the EIM Base Load Schedule provided by the CAISO.  </w:t>
      </w:r>
    </w:p>
    <w:p w14:paraId="5DE3F0CC" w14:textId="10F90649" w:rsidR="007E73A8" w:rsidRPr="00746F54" w:rsidRDefault="00337AE2" w:rsidP="002F56FE">
      <w:pPr>
        <w:pStyle w:val="ParaText"/>
        <w:rPr>
          <w:rFonts w:ascii="Arial" w:hAnsi="Arial" w:cs="Arial"/>
        </w:rPr>
      </w:pPr>
      <w:r w:rsidRPr="00746F54">
        <w:rPr>
          <w:rFonts w:ascii="Arial" w:hAnsi="Arial" w:cs="Arial"/>
        </w:rPr>
        <w:t xml:space="preserve">EDAM Transfer schedules of energy between balancing authority areas in the EDAM market footprint (EDAM area) will continue in the Real-Time Market with the corresponding balancing authority areas in the EIM area.  </w:t>
      </w:r>
      <w:r w:rsidR="008435C9" w:rsidRPr="00746F54">
        <w:rPr>
          <w:rFonts w:ascii="Arial" w:hAnsi="Arial" w:cs="Arial"/>
        </w:rPr>
        <w:t xml:space="preserve">EDAM transfers of energy emerging from the Day-Ahead Market will not be optimized in the Real-Time Market.  Day-Ahead import and export schedules at EDAM external interties with balancing authority areas in the EIM Area will also persist in the Real-Time Market.  If the import/export schedule is with another EIM Entity Balancing Authority Area, the Day-Ahead Schedule will be mirrored at the corresponding EIM Mirror System Resource for the balancing authority area in the Real -Time Market.  Similarly, Day-Ahead import and export schedules at EDAM external interties will also not be optimized in the Real-Time Market.  </w:t>
      </w:r>
    </w:p>
    <w:p w14:paraId="29D8D1CA" w14:textId="1182803C" w:rsidR="009F4874" w:rsidRPr="00746F54" w:rsidRDefault="009F4874" w:rsidP="002F56FE">
      <w:pPr>
        <w:pStyle w:val="ParaText"/>
        <w:rPr>
          <w:rFonts w:ascii="Arial" w:hAnsi="Arial" w:cs="Arial"/>
        </w:rPr>
      </w:pPr>
      <w:r w:rsidRPr="00746F54">
        <w:rPr>
          <w:rFonts w:ascii="Arial" w:hAnsi="Arial" w:cs="Arial"/>
        </w:rPr>
        <w:t xml:space="preserve">Balancing authorities participating only in the WEIM will continue to submit Base Schedules as they do today as </w:t>
      </w:r>
      <w:proofErr w:type="gramStart"/>
      <w:r w:rsidRPr="00746F54">
        <w:rPr>
          <w:rFonts w:ascii="Arial" w:hAnsi="Arial" w:cs="Arial"/>
        </w:rPr>
        <w:t>described</w:t>
      </w:r>
      <w:proofErr w:type="gramEnd"/>
      <w:r w:rsidRPr="00746F54">
        <w:rPr>
          <w:rFonts w:ascii="Arial" w:hAnsi="Arial" w:cs="Arial"/>
        </w:rPr>
        <w:t xml:space="preserve"> in the tariff and the </w:t>
      </w:r>
      <w:r w:rsidRPr="00746F54">
        <w:rPr>
          <w:rFonts w:ascii="Arial" w:hAnsi="Arial" w:cs="Arial"/>
          <w:i/>
          <w:iCs/>
        </w:rPr>
        <w:t xml:space="preserve">Energy Imbalance Market </w:t>
      </w:r>
      <w:r w:rsidRPr="00746F54">
        <w:rPr>
          <w:rFonts w:ascii="Arial" w:hAnsi="Arial" w:cs="Arial"/>
        </w:rPr>
        <w:t xml:space="preserve">Business Practice Manual.  </w:t>
      </w:r>
    </w:p>
    <w:p w14:paraId="3A75EC52" w14:textId="7B608C01" w:rsidR="002F56FE" w:rsidRPr="0097362D" w:rsidRDefault="002F56FE" w:rsidP="00AA79F2">
      <w:pPr>
        <w:pStyle w:val="Heading2"/>
      </w:pPr>
      <w:bookmarkStart w:id="190" w:name="_Toc211337949"/>
      <w:bookmarkStart w:id="191" w:name="_Toc228963728"/>
      <w:r w:rsidRPr="0097362D">
        <w:t>Information Available for Bidding by Gas-Fired Resources</w:t>
      </w:r>
      <w:bookmarkEnd w:id="190"/>
      <w:bookmarkEnd w:id="191"/>
    </w:p>
    <w:p w14:paraId="646B0D9C" w14:textId="7A9DE3B5" w:rsidR="002F56FE" w:rsidRPr="00746F54" w:rsidRDefault="002F56FE">
      <w:pPr>
        <w:pStyle w:val="ParaText"/>
        <w:rPr>
          <w:rFonts w:ascii="Arial" w:hAnsi="Arial" w:cs="Arial"/>
          <w:u w:val="single"/>
        </w:rPr>
      </w:pPr>
      <w:r w:rsidRPr="00746F54">
        <w:rPr>
          <w:rFonts w:ascii="Arial" w:hAnsi="Arial" w:cs="Arial"/>
          <w:u w:val="single"/>
        </w:rPr>
        <w:t>Reference tariff section 33.30.10</w:t>
      </w:r>
      <w:r w:rsidR="00942DDF" w:rsidRPr="00746F54">
        <w:rPr>
          <w:rFonts w:ascii="Arial" w:hAnsi="Arial" w:cs="Arial"/>
          <w:u w:val="single"/>
        </w:rPr>
        <w:t>, 6.5.2.2.3</w:t>
      </w:r>
    </w:p>
    <w:p w14:paraId="486E15C7" w14:textId="7AC0610D" w:rsidR="00C740F8" w:rsidRPr="00746F54" w:rsidRDefault="00942DDF">
      <w:pPr>
        <w:pStyle w:val="ParaText"/>
        <w:rPr>
          <w:rFonts w:ascii="Arial" w:hAnsi="Arial" w:cs="Arial"/>
        </w:rPr>
      </w:pPr>
      <w:r w:rsidRPr="00746F54">
        <w:rPr>
          <w:rFonts w:ascii="Arial" w:hAnsi="Arial" w:cs="Arial"/>
        </w:rPr>
        <w:t xml:space="preserve">As part of the EDAM design, the CAISO will publish advisory Day-Ahead Market results two days prior to the trading day to help inform gas procurement by EDAM resource scheduling coordinators that submit bids for gas-fired resources.  </w:t>
      </w:r>
      <w:r w:rsidR="00CD629D" w:rsidRPr="00746F54">
        <w:rPr>
          <w:rFonts w:ascii="Arial" w:hAnsi="Arial" w:cs="Arial"/>
        </w:rPr>
        <w:t>The information, in its advisory form, will not be settled through the market</w:t>
      </w:r>
      <w:r w:rsidR="001B296C" w:rsidRPr="00746F54">
        <w:rPr>
          <w:rFonts w:ascii="Arial" w:hAnsi="Arial" w:cs="Arial"/>
        </w:rPr>
        <w:t xml:space="preserve">.  </w:t>
      </w:r>
      <w:r w:rsidR="004E1625" w:rsidRPr="00746F54">
        <w:rPr>
          <w:rFonts w:ascii="Arial" w:hAnsi="Arial" w:cs="Arial"/>
        </w:rPr>
        <w:t xml:space="preserve">The CAISO will run an advisory trade date + 2 Day-Ahead Market (TD+2) run with re-optimization for energy, ancillary services, and imbalance reserves.  The TD+2 run </w:t>
      </w:r>
      <w:proofErr w:type="gramStart"/>
      <w:r w:rsidR="004E1625" w:rsidRPr="00746F54">
        <w:rPr>
          <w:rFonts w:ascii="Arial" w:hAnsi="Arial" w:cs="Arial"/>
        </w:rPr>
        <w:t>will</w:t>
      </w:r>
      <w:proofErr w:type="gramEnd"/>
      <w:r w:rsidR="004E1625" w:rsidRPr="00746F54">
        <w:rPr>
          <w:rFonts w:ascii="Arial" w:hAnsi="Arial" w:cs="Arial"/>
        </w:rPr>
        <w:t xml:space="preserve"> the latest available load and resource output forecasts, corresponding available bids, and latest </w:t>
      </w:r>
      <w:r w:rsidR="004E1625" w:rsidRPr="00746F54">
        <w:rPr>
          <w:rStyle w:val="BPMChar"/>
          <w:rFonts w:ascii="Arial" w:hAnsi="Arial"/>
        </w:rPr>
        <w:t xml:space="preserve">available outage information to produce advisory market results.  These advisory results will be available in CMRI to the corresponding scheduling coordinators.  </w:t>
      </w:r>
    </w:p>
    <w:p w14:paraId="48083DF2" w14:textId="6854AABD" w:rsidR="00691D5E" w:rsidRPr="00AA79F2" w:rsidRDefault="000D11B2" w:rsidP="00AA79F2">
      <w:pPr>
        <w:pStyle w:val="Heading1"/>
      </w:pPr>
      <w:bookmarkStart w:id="192" w:name="_Toc211337950"/>
      <w:bookmarkStart w:id="193" w:name="_Toc228963729"/>
      <w:r w:rsidRPr="00AA79F2">
        <w:rPr>
          <w:rStyle w:val="BPMChar"/>
          <w:rFonts w:cstheme="minorBidi"/>
        </w:rPr>
        <w:t>Resource Sufficiency</w:t>
      </w:r>
      <w:r w:rsidR="00691D5E" w:rsidRPr="00AA79F2">
        <w:rPr>
          <w:rStyle w:val="BPMChar"/>
          <w:rFonts w:cstheme="minorBidi"/>
        </w:rPr>
        <w:t xml:space="preserve"> Requirements</w:t>
      </w:r>
      <w:bookmarkEnd w:id="192"/>
      <w:bookmarkEnd w:id="193"/>
    </w:p>
    <w:p w14:paraId="7F3D3CDC" w14:textId="5A7C2B85" w:rsidR="00691D5E" w:rsidRPr="00AA79F2" w:rsidRDefault="00691D5E" w:rsidP="00AA79F2">
      <w:pPr>
        <w:pStyle w:val="Heading2"/>
      </w:pPr>
      <w:bookmarkStart w:id="194" w:name="_Toc211337951"/>
      <w:bookmarkStart w:id="195" w:name="_Toc228963730"/>
      <w:r w:rsidRPr="00AA79F2">
        <w:t>EDAM Resource Sufficiency Evaluation (EDAM RSE)</w:t>
      </w:r>
      <w:bookmarkEnd w:id="194"/>
      <w:bookmarkEnd w:id="195"/>
    </w:p>
    <w:p w14:paraId="6B54BCDB" w14:textId="77168CFC" w:rsidR="00691D5E" w:rsidRPr="00746F54" w:rsidRDefault="00691D5E" w:rsidP="00691D5E">
      <w:pPr>
        <w:pStyle w:val="ParaText"/>
        <w:rPr>
          <w:rFonts w:ascii="Arial" w:hAnsi="Arial" w:cs="Arial"/>
          <w:u w:val="single"/>
        </w:rPr>
      </w:pPr>
      <w:r w:rsidRPr="00746F54">
        <w:rPr>
          <w:rFonts w:ascii="Arial" w:hAnsi="Arial" w:cs="Arial"/>
          <w:u w:val="single"/>
        </w:rPr>
        <w:t>Reference tariff section 33.31.1</w:t>
      </w:r>
    </w:p>
    <w:p w14:paraId="2CDDFDFE" w14:textId="25FAC465" w:rsidR="00691D5E" w:rsidRPr="00746F54" w:rsidRDefault="00691D5E" w:rsidP="00691D5E">
      <w:pPr>
        <w:rPr>
          <w:rFonts w:ascii="Arial" w:hAnsi="Arial" w:cs="Arial"/>
        </w:rPr>
      </w:pPr>
      <w:r w:rsidRPr="00746F54">
        <w:rPr>
          <w:rFonts w:ascii="Arial" w:hAnsi="Arial" w:cs="Arial"/>
          <w:u w:val="single"/>
        </w:rPr>
        <w:lastRenderedPageBreak/>
        <w:t>Required Submission Time</w:t>
      </w:r>
      <w:r w:rsidRPr="00746F54">
        <w:rPr>
          <w:rFonts w:ascii="Arial" w:hAnsi="Arial" w:cs="Arial"/>
        </w:rPr>
        <w:t xml:space="preserve">:   Binding EDAM RSE performed immediately in advance of the Day-Ahead Market (approx.) 10 a.m. to evaluate RSE-eligible supply against </w:t>
      </w:r>
      <w:r w:rsidR="00760A84" w:rsidRPr="00746F54">
        <w:rPr>
          <w:rFonts w:ascii="Arial" w:hAnsi="Arial" w:cs="Arial"/>
        </w:rPr>
        <w:t xml:space="preserve">fixed </w:t>
      </w:r>
      <w:r w:rsidRPr="00746F54">
        <w:rPr>
          <w:rFonts w:ascii="Arial" w:hAnsi="Arial" w:cs="Arial"/>
        </w:rPr>
        <w:t xml:space="preserve">obligations established at (approx.) 9 a.m. </w:t>
      </w:r>
    </w:p>
    <w:p w14:paraId="5B65CA6B" w14:textId="77777777" w:rsidR="00691D5E" w:rsidRPr="00746F54" w:rsidRDefault="00691D5E" w:rsidP="00691D5E">
      <w:pPr>
        <w:pStyle w:val="ParaText"/>
        <w:rPr>
          <w:rFonts w:ascii="Arial" w:hAnsi="Arial" w:cs="Arial"/>
          <w:u w:val="single"/>
        </w:rPr>
      </w:pPr>
      <w:r w:rsidRPr="00746F54">
        <w:rPr>
          <w:rFonts w:ascii="Arial" w:hAnsi="Arial" w:cs="Arial"/>
        </w:rPr>
        <w:t xml:space="preserve">The EDAM resource sufficiency evaluation tests that EDAM entities have sufficient supply and reserves to meet forecasted demand, ancillary services (capacity), and uncertainty (Imbalance Reserve, flexibility) that may materialize between Day-Ahead and Real-Time before engaging in transfers with other EDAM BAAs through the DA market. To perform the tests, the RSE application will run a unit-commitment optimization based upon each BAA’s entire load and supply without considering transmission constraints. If the market optimization </w:t>
      </w:r>
      <w:proofErr w:type="gramStart"/>
      <w:r w:rsidRPr="00746F54">
        <w:rPr>
          <w:rFonts w:ascii="Arial" w:hAnsi="Arial" w:cs="Arial"/>
        </w:rPr>
        <w:t>is not able to</w:t>
      </w:r>
      <w:proofErr w:type="gramEnd"/>
      <w:r w:rsidRPr="00746F54">
        <w:rPr>
          <w:rFonts w:ascii="Arial" w:hAnsi="Arial" w:cs="Arial"/>
        </w:rPr>
        <w:t xml:space="preserve"> meet the RSE obligation with available supply, a condition where the test does not need to relax the power balance constraints to solve, then the BAA “passes” the RSE. If the optimization must relax constraints to solve, then the BAA “fails” the RSE. Failures can be in the upward and/or downward direction. An upward failure occurs when the optimization must relax the upward power balance constraint, upward imbalance reserve procurement constraint and/or upward ancillary services procurement constraint. A downward failure occurs when the optimization must relax the downward power balance constraint, downward imbalance reserve procurement constraint or downward ancillary services procurement constraint. The optimization will seek to minimize the sum of the constraint relaxation quantities across the 24 intervals.</w:t>
      </w:r>
    </w:p>
    <w:p w14:paraId="6B136035" w14:textId="3F5500CE" w:rsidR="00691D5E" w:rsidRPr="00746F54" w:rsidRDefault="00691D5E" w:rsidP="00691D5E">
      <w:pPr>
        <w:pStyle w:val="ParaText"/>
        <w:rPr>
          <w:rFonts w:ascii="Arial" w:hAnsi="Arial" w:cs="Arial"/>
          <w:u w:val="single"/>
        </w:rPr>
      </w:pPr>
      <w:r w:rsidRPr="00746F54">
        <w:rPr>
          <w:rFonts w:ascii="Arial" w:hAnsi="Arial" w:cs="Arial"/>
        </w:rPr>
        <w:t xml:space="preserve">Specifically, the EDAM-RSE evaluates hourly each EDAM-BAA ability to satisfy Demand obligations, referred to in this Business Practice Manual as “power balance constraints,” the Imbalance obligations, referred to in this Business Practice Manual as “IRU/IRD procurement restraints,” and the Ancillary Service obligations, referred to in this Business Practice Manual as “AS procurement constraints.”  In an hour where no constraint is relaxed, it is considered a pass for the hour. If any of the constraints </w:t>
      </w:r>
      <w:r w:rsidR="00760A84" w:rsidRPr="00746F54">
        <w:rPr>
          <w:rFonts w:ascii="Arial" w:hAnsi="Arial" w:cs="Arial"/>
        </w:rPr>
        <w:t>are</w:t>
      </w:r>
      <w:r w:rsidRPr="00746F54">
        <w:rPr>
          <w:rFonts w:ascii="Arial" w:hAnsi="Arial" w:cs="Arial"/>
        </w:rPr>
        <w:t xml:space="preserve"> violated, it is considered a </w:t>
      </w:r>
      <w:proofErr w:type="gramStart"/>
      <w:r w:rsidRPr="00746F54">
        <w:rPr>
          <w:rFonts w:ascii="Arial" w:hAnsi="Arial" w:cs="Arial"/>
        </w:rPr>
        <w:t>fail</w:t>
      </w:r>
      <w:proofErr w:type="gramEnd"/>
      <w:r w:rsidRPr="00746F54">
        <w:rPr>
          <w:rFonts w:ascii="Arial" w:hAnsi="Arial" w:cs="Arial"/>
        </w:rPr>
        <w:t xml:space="preserve"> for the hour. The EDAM-RSE tests both upward and downward directions, with the upward test considering EN (under generation), RU, SR, NR, and IRU. The downward test is for EN (over generation), RD, and IRD. It is possible for an EDAM BAA to fail the test in one direction </w:t>
      </w:r>
      <w:proofErr w:type="gramStart"/>
      <w:r w:rsidRPr="00746F54">
        <w:rPr>
          <w:rFonts w:ascii="Arial" w:hAnsi="Arial" w:cs="Arial"/>
        </w:rPr>
        <w:t>and also</w:t>
      </w:r>
      <w:proofErr w:type="gramEnd"/>
      <w:r w:rsidRPr="00746F54">
        <w:rPr>
          <w:rFonts w:ascii="Arial" w:hAnsi="Arial" w:cs="Arial"/>
        </w:rPr>
        <w:t xml:space="preserve"> in both directions.  The EDAM-RSE is based on a new Optimization Pass; no NA run and does not use Convergence Bids, Load resource Bids or optimizable TSR transfer.  It will minimize slack variables while satisfying all the Demand, Imbalance Reserve, and Ancillary Service obligations, and resource constraints including inter-temporal constraints.</w:t>
      </w:r>
      <w:r w:rsidRPr="00746F54">
        <w:rPr>
          <w:rFonts w:ascii="Arial" w:hAnsi="Arial" w:cs="Arial"/>
          <w:u w:val="single"/>
        </w:rPr>
        <w:t xml:space="preserve">  </w:t>
      </w:r>
      <w:r w:rsidR="00DB2981" w:rsidRPr="00DB2981">
        <w:rPr>
          <w:rFonts w:ascii="Arial" w:hAnsi="Arial" w:cs="Arial"/>
          <w:u w:val="single"/>
        </w:rPr>
        <w:t xml:space="preserve">To ensure all </w:t>
      </w:r>
      <w:r w:rsidR="00D245D1">
        <w:rPr>
          <w:rFonts w:ascii="Arial" w:hAnsi="Arial" w:cs="Arial"/>
          <w:u w:val="single"/>
        </w:rPr>
        <w:t xml:space="preserve">available VER resource capacity is </w:t>
      </w:r>
      <w:r w:rsidR="00F252C7">
        <w:rPr>
          <w:rFonts w:ascii="Arial" w:hAnsi="Arial" w:cs="Arial"/>
          <w:u w:val="single"/>
        </w:rPr>
        <w:t xml:space="preserve">available to the RSE, should an energy bid not be provided, </w:t>
      </w:r>
      <w:r w:rsidR="00D245D1">
        <w:rPr>
          <w:rFonts w:ascii="Arial" w:hAnsi="Arial" w:cs="Arial"/>
          <w:u w:val="single"/>
        </w:rPr>
        <w:t xml:space="preserve">a VER bid </w:t>
      </w:r>
      <w:r w:rsidR="00DB2981" w:rsidRPr="00DB2981">
        <w:rPr>
          <w:rFonts w:ascii="Arial" w:hAnsi="Arial" w:cs="Arial"/>
          <w:u w:val="single"/>
        </w:rPr>
        <w:t>will be automatically created</w:t>
      </w:r>
      <w:r w:rsidR="00D245D1">
        <w:rPr>
          <w:rFonts w:ascii="Arial" w:hAnsi="Arial" w:cs="Arial"/>
          <w:u w:val="single"/>
        </w:rPr>
        <w:t xml:space="preserve"> for RSE purposes</w:t>
      </w:r>
      <w:r w:rsidR="00DB2981" w:rsidRPr="00DB2981">
        <w:rPr>
          <w:rFonts w:ascii="Arial" w:hAnsi="Arial" w:cs="Arial"/>
          <w:u w:val="single"/>
        </w:rPr>
        <w:t>.  This mirrors the VER treatment in RUC where an RCU bid always exists.</w:t>
      </w:r>
    </w:p>
    <w:p w14:paraId="615EBC53" w14:textId="11F8F2F4" w:rsidR="00691D5E" w:rsidRPr="0097362D" w:rsidRDefault="00A54DF0" w:rsidP="0097362D">
      <w:pPr>
        <w:pStyle w:val="Heading3"/>
      </w:pPr>
      <w:bookmarkStart w:id="196" w:name="_Toc211337952"/>
      <w:r w:rsidRPr="0097362D">
        <w:t>Timing and Components of the EDAM RSE</w:t>
      </w:r>
      <w:bookmarkEnd w:id="196"/>
    </w:p>
    <w:p w14:paraId="74D0638D" w14:textId="010701BA" w:rsidR="00A54DF0" w:rsidRPr="00746F54" w:rsidRDefault="00A54DF0" w:rsidP="00691D5E">
      <w:pPr>
        <w:spacing w:line="360" w:lineRule="auto"/>
        <w:rPr>
          <w:rFonts w:ascii="Arial" w:hAnsi="Arial" w:cs="Arial"/>
          <w:u w:val="single"/>
        </w:rPr>
      </w:pPr>
      <w:r w:rsidRPr="00746F54">
        <w:rPr>
          <w:rFonts w:ascii="Arial" w:hAnsi="Arial" w:cs="Arial"/>
          <w:u w:val="single"/>
        </w:rPr>
        <w:t>Reference tariff sections 33.31.1.1 and 33.31.1.2</w:t>
      </w:r>
    </w:p>
    <w:p w14:paraId="0A6BABB9" w14:textId="48BF7AA2" w:rsidR="00691D5E" w:rsidRPr="00746F54" w:rsidRDefault="00691D5E" w:rsidP="00691D5E">
      <w:pPr>
        <w:spacing w:line="360" w:lineRule="auto"/>
        <w:rPr>
          <w:rFonts w:ascii="Arial" w:hAnsi="Arial" w:cs="Arial"/>
        </w:rPr>
      </w:pPr>
      <w:r w:rsidRPr="00746F54">
        <w:rPr>
          <w:rFonts w:ascii="Arial" w:hAnsi="Arial" w:cs="Arial"/>
        </w:rPr>
        <w:lastRenderedPageBreak/>
        <w:t xml:space="preserve">The EDAM resource sufficiency evaluation is designed to incentivize BAAs participating in EDAM to come to the market with sufficient supply to meet their next-day obligations prior to engaging in transfers with other participating BAAs. By requiring each participating BAA to demonstrate sufficient forward procured supply each day, the EDAM RSE discourages BAAs with insufficient capacity from inappropriately leaning on neighboring BAAs for supplemental capacity.  The RSE is applied equally and uniformly across the EDAM BAAs.  The processes and actions discussed below are equally applicable and available to any EDAM BAA that chooses to use them.  The CISO BAA participation guide is included as a supplement to this business practice manual.    </w:t>
      </w:r>
    </w:p>
    <w:p w14:paraId="5FA79D70" w14:textId="268EE24F" w:rsidR="00691D5E" w:rsidRPr="00746F54" w:rsidRDefault="00760A84" w:rsidP="00691D5E">
      <w:pPr>
        <w:spacing w:line="360" w:lineRule="auto"/>
        <w:rPr>
          <w:rFonts w:ascii="Arial" w:hAnsi="Arial" w:cs="Arial"/>
        </w:rPr>
      </w:pPr>
      <w:r w:rsidRPr="00746F54">
        <w:rPr>
          <w:rFonts w:ascii="Arial" w:hAnsi="Arial" w:cs="Arial"/>
        </w:rPr>
        <w:t>Using best efforts, market operator will produce a</w:t>
      </w:r>
      <w:r w:rsidR="00691D5E" w:rsidRPr="00746F54">
        <w:rPr>
          <w:rFonts w:ascii="Arial" w:hAnsi="Arial" w:cs="Arial"/>
        </w:rPr>
        <w:t xml:space="preserve">dvisory RSE runs </w:t>
      </w:r>
      <w:r w:rsidRPr="00746F54">
        <w:rPr>
          <w:rFonts w:ascii="Arial" w:hAnsi="Arial" w:cs="Arial"/>
        </w:rPr>
        <w:t>that a</w:t>
      </w:r>
      <w:r w:rsidR="00691D5E" w:rsidRPr="00746F54">
        <w:rPr>
          <w:rFonts w:ascii="Arial" w:hAnsi="Arial" w:cs="Arial"/>
        </w:rPr>
        <w:t xml:space="preserve">re automatically executed every 30 minutes between 06:00  and 09:00 (Note: additional publications are under consideration). The final binding RSE will be conducted for all EDAM entities every day at approximately 10 a.m. prior to running the day-ahead market.  Note: Should the 09:00 and 09:30 Advisory runs fail and not be able to complete successfully, the market operator will send a system message, escalate to IT teams, and </w:t>
      </w:r>
      <w:r w:rsidRPr="00746F54">
        <w:rPr>
          <w:rFonts w:ascii="Arial" w:hAnsi="Arial" w:cs="Arial"/>
        </w:rPr>
        <w:t xml:space="preserve">use best efforts to </w:t>
      </w:r>
      <w:r w:rsidR="00691D5E" w:rsidRPr="00746F54">
        <w:rPr>
          <w:rFonts w:ascii="Arial" w:hAnsi="Arial" w:cs="Arial"/>
        </w:rPr>
        <w:t xml:space="preserve">ensure an advisory execution is provided with a minimum of </w:t>
      </w:r>
      <w:proofErr w:type="gramStart"/>
      <w:r w:rsidR="00691D5E" w:rsidRPr="00746F54">
        <w:rPr>
          <w:rFonts w:ascii="Arial" w:hAnsi="Arial" w:cs="Arial"/>
        </w:rPr>
        <w:t>15-minutes</w:t>
      </w:r>
      <w:proofErr w:type="gramEnd"/>
      <w:r w:rsidR="00691D5E" w:rsidRPr="00746F54">
        <w:rPr>
          <w:rFonts w:ascii="Arial" w:hAnsi="Arial" w:cs="Arial"/>
        </w:rPr>
        <w:t xml:space="preserve"> before a binding RSE post-10:00.</w:t>
      </w:r>
    </w:p>
    <w:p w14:paraId="3C4FCB99" w14:textId="77777777" w:rsidR="00691D5E" w:rsidRPr="00746F54" w:rsidRDefault="00691D5E" w:rsidP="00691D5E">
      <w:pPr>
        <w:spacing w:line="360" w:lineRule="auto"/>
        <w:jc w:val="center"/>
        <w:rPr>
          <w:rFonts w:ascii="Arial" w:hAnsi="Arial" w:cs="Arial"/>
        </w:rPr>
      </w:pPr>
      <w:r w:rsidRPr="00746F54">
        <w:rPr>
          <w:rFonts w:ascii="Arial" w:hAnsi="Arial" w:cs="Arial"/>
          <w:noProof/>
        </w:rPr>
        <w:drawing>
          <wp:inline distT="0" distB="0" distL="0" distR="0" wp14:anchorId="71136D10" wp14:editId="114BED8F">
            <wp:extent cx="4511675" cy="1854200"/>
            <wp:effectExtent l="0" t="0" r="0" b="0"/>
            <wp:docPr id="1397823390" name="Picture 4" descr="A black background with white arrows&#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4" descr="A black background with white arrows&#10;&#10;Description automatically generated"/>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1675" cy="1854200"/>
                    </a:xfrm>
                    <a:prstGeom prst="rect">
                      <a:avLst/>
                    </a:prstGeom>
                    <a:noFill/>
                  </pic:spPr>
                </pic:pic>
              </a:graphicData>
            </a:graphic>
          </wp:inline>
        </w:drawing>
      </w:r>
    </w:p>
    <w:p w14:paraId="5C42745D" w14:textId="77777777" w:rsidR="00691D5E" w:rsidRPr="00746F54" w:rsidRDefault="00691D5E" w:rsidP="00691D5E">
      <w:pPr>
        <w:spacing w:line="360" w:lineRule="auto"/>
        <w:jc w:val="center"/>
        <w:rPr>
          <w:rFonts w:ascii="Arial" w:hAnsi="Arial" w:cs="Arial"/>
        </w:rPr>
      </w:pPr>
    </w:p>
    <w:p w14:paraId="7C76EE12" w14:textId="77777777" w:rsidR="00691D5E" w:rsidRPr="00746F54" w:rsidRDefault="00691D5E" w:rsidP="00691D5E">
      <w:pPr>
        <w:spacing w:line="360" w:lineRule="auto"/>
        <w:rPr>
          <w:rFonts w:ascii="Arial" w:hAnsi="Arial" w:cs="Arial"/>
        </w:rPr>
      </w:pPr>
      <w:r w:rsidRPr="00746F54">
        <w:rPr>
          <w:rFonts w:ascii="Arial" w:hAnsi="Arial" w:cs="Arial"/>
        </w:rPr>
        <w:t xml:space="preserve">Figure 1 illustrates the RSE process applied to the CISO BAA as a participating Balancing Authority Area in the EDAM Area.  </w:t>
      </w:r>
    </w:p>
    <w:p w14:paraId="79982405" w14:textId="77777777" w:rsidR="00691D5E" w:rsidRPr="00746F54" w:rsidRDefault="00691D5E" w:rsidP="00691D5E">
      <w:pPr>
        <w:spacing w:after="0" w:line="360" w:lineRule="auto"/>
        <w:jc w:val="center"/>
        <w:rPr>
          <w:rFonts w:ascii="Arial" w:hAnsi="Arial" w:cs="Arial"/>
        </w:rPr>
      </w:pPr>
      <w:r w:rsidRPr="00746F54">
        <w:rPr>
          <w:rFonts w:ascii="Arial" w:hAnsi="Arial" w:cs="Arial"/>
          <w:color w:val="1F4E79" w:themeColor="accent1" w:themeShade="80"/>
        </w:rPr>
        <w:t>Figure 1: Illustration of RSE (Applied to CISO BA)</w:t>
      </w:r>
    </w:p>
    <w:p w14:paraId="5CAABAD7" w14:textId="77777777" w:rsidR="00691D5E" w:rsidRPr="00746F54" w:rsidRDefault="00691D5E" w:rsidP="00691D5E">
      <w:pPr>
        <w:spacing w:after="0" w:line="360" w:lineRule="auto"/>
        <w:rPr>
          <w:rFonts w:ascii="Arial" w:hAnsi="Arial" w:cs="Arial"/>
        </w:rPr>
      </w:pPr>
      <w:r w:rsidRPr="00746F54">
        <w:rPr>
          <w:rFonts w:ascii="Arial" w:hAnsi="Arial" w:cs="Arial"/>
          <w:noProof/>
        </w:rPr>
        <w:lastRenderedPageBreak/>
        <w:drawing>
          <wp:inline distT="0" distB="0" distL="0" distR="0" wp14:anchorId="28E54C69" wp14:editId="7FB11A3A">
            <wp:extent cx="6000750" cy="2920878"/>
            <wp:effectExtent l="19050" t="19050" r="19050" b="13335"/>
            <wp:docPr id="5" name="Picture 5" descr="A diagram of a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market&#10;&#10;AI-generated content may be incorrect."/>
                    <pic:cNvPicPr/>
                  </pic:nvPicPr>
                  <pic:blipFill>
                    <a:blip r:embed="rId21"/>
                    <a:stretch>
                      <a:fillRect/>
                    </a:stretch>
                  </pic:blipFill>
                  <pic:spPr>
                    <a:xfrm>
                      <a:off x="0" y="0"/>
                      <a:ext cx="6013835" cy="2927247"/>
                    </a:xfrm>
                    <a:prstGeom prst="rect">
                      <a:avLst/>
                    </a:prstGeom>
                    <a:ln>
                      <a:solidFill>
                        <a:sysClr val="windowText" lastClr="000000"/>
                      </a:solidFill>
                    </a:ln>
                  </pic:spPr>
                </pic:pic>
              </a:graphicData>
            </a:graphic>
          </wp:inline>
        </w:drawing>
      </w:r>
    </w:p>
    <w:p w14:paraId="1CCEC105" w14:textId="77777777" w:rsidR="00691D5E" w:rsidRPr="00746F54" w:rsidRDefault="00691D5E" w:rsidP="00691D5E">
      <w:pPr>
        <w:ind w:left="720"/>
        <w:rPr>
          <w:rFonts w:ascii="Arial" w:hAnsi="Arial" w:cs="Arial"/>
        </w:rPr>
      </w:pPr>
    </w:p>
    <w:p w14:paraId="42CF9A68" w14:textId="385E47F2" w:rsidR="00691D5E" w:rsidRPr="00746F54" w:rsidRDefault="00691D5E" w:rsidP="00691D5E">
      <w:pPr>
        <w:spacing w:after="0" w:line="360" w:lineRule="auto"/>
        <w:rPr>
          <w:rFonts w:ascii="Arial" w:hAnsi="Arial" w:cs="Arial"/>
        </w:rPr>
      </w:pPr>
      <w:r w:rsidRPr="00746F54">
        <w:rPr>
          <w:rFonts w:ascii="Arial" w:hAnsi="Arial" w:cs="Arial"/>
        </w:rPr>
        <w:t xml:space="preserve">BAAs that fail the RSE in any hour of the 24-hour evaluation may incur at least one of the following types of financial surcharges: (1) on-peak upward failure surcharges; (2) off-peak upward failure surcharges; (3) downward failure surcharges. Upward failure surcharges are calculated on a tiered structure that incorporates the magnitude of the failure and any persistence in upward failures over a rolling 30-day period. The downward failure surcharge is not tiered. </w:t>
      </w:r>
    </w:p>
    <w:p w14:paraId="4E6B0E00" w14:textId="59053B4C" w:rsidR="00691D5E" w:rsidRPr="00746F54" w:rsidRDefault="00691D5E" w:rsidP="004E1625">
      <w:pPr>
        <w:pStyle w:val="Heading4"/>
        <w:rPr>
          <w:rFonts w:ascii="Arial" w:hAnsi="Arial" w:cs="Arial"/>
        </w:rPr>
      </w:pPr>
      <w:r w:rsidRPr="00746F54">
        <w:rPr>
          <w:rFonts w:ascii="Arial" w:hAnsi="Arial" w:cs="Arial"/>
        </w:rPr>
        <w:t xml:space="preserve">PROCESS FOR ADVISORY PASS OF THE DAY-AHEAD RESOURCE SUFFICIENCY EVALUATION </w:t>
      </w:r>
    </w:p>
    <w:p w14:paraId="7C04F06F" w14:textId="77777777" w:rsidR="00691D5E" w:rsidRPr="00746F54" w:rsidRDefault="00691D5E" w:rsidP="00691D5E">
      <w:pPr>
        <w:spacing w:after="0" w:line="360" w:lineRule="auto"/>
        <w:rPr>
          <w:rFonts w:ascii="Arial" w:hAnsi="Arial" w:cs="Arial"/>
        </w:rPr>
      </w:pPr>
      <w:r w:rsidRPr="00746F54">
        <w:rPr>
          <w:rFonts w:ascii="Arial" w:hAnsi="Arial" w:cs="Arial"/>
        </w:rPr>
        <w:t xml:space="preserve">All EDAM entities prepare to meet their RSE obligations each morning,  including taking actions to ensure reliability if there is a significant projected supply shortfall. The RSE obligation for the demand forecast and imbalance reserve requirements is finalized at 9 a.m.  If there is a projected RSE shortfall at 9 a.m., all entities will still have approximately one hour before the binding RSE is performed at 10 a.m. to resolve a potential shortfall prior to the 10 a.m. run of the RSE.  Further details specific to the CISO BAA are provided in the supplement to this Business Practice Manual.  </w:t>
      </w:r>
    </w:p>
    <w:p w14:paraId="6488DBBE" w14:textId="77777777" w:rsidR="00691D5E" w:rsidRPr="00746F54" w:rsidRDefault="00691D5E" w:rsidP="00691D5E">
      <w:pPr>
        <w:spacing w:after="0" w:line="360" w:lineRule="auto"/>
        <w:rPr>
          <w:rFonts w:ascii="Arial" w:hAnsi="Arial" w:cs="Arial"/>
        </w:rPr>
      </w:pPr>
    </w:p>
    <w:p w14:paraId="7162E6F4" w14:textId="5319D587" w:rsidR="00691D5E" w:rsidRPr="00746F54" w:rsidRDefault="00691D5E" w:rsidP="00691D5E">
      <w:pPr>
        <w:pStyle w:val="ListParagraph"/>
        <w:numPr>
          <w:ilvl w:val="0"/>
          <w:numId w:val="103"/>
        </w:numPr>
        <w:spacing w:after="0" w:line="360" w:lineRule="auto"/>
        <w:rPr>
          <w:rFonts w:ascii="Arial" w:hAnsi="Arial" w:cs="Arial"/>
        </w:rPr>
      </w:pPr>
      <w:r w:rsidRPr="00746F54">
        <w:rPr>
          <w:rFonts w:ascii="Arial" w:hAnsi="Arial" w:cs="Arial"/>
        </w:rPr>
        <w:t xml:space="preserve"> </w:t>
      </w:r>
      <w:bookmarkStart w:id="197" w:name="_Hlk204675900"/>
      <w:r w:rsidRPr="00746F54">
        <w:rPr>
          <w:rFonts w:ascii="Arial" w:hAnsi="Arial" w:cs="Arial"/>
          <w:b/>
          <w:bCs/>
        </w:rPr>
        <w:t>Accounting for Demand Response/Load Modification Resources.</w:t>
      </w:r>
      <w:r w:rsidRPr="00746F54">
        <w:rPr>
          <w:rFonts w:ascii="Arial" w:hAnsi="Arial" w:cs="Arial"/>
        </w:rPr>
        <w:t xml:space="preserve">  All demand response and load modification programs that do not qualify as EDAM Resource Facilities are eligible to be accounted for consistent with ISO Tariff Section 33.31.4.1.  </w:t>
      </w:r>
      <w:r w:rsidRPr="00746F54">
        <w:rPr>
          <w:rFonts w:ascii="Arial" w:hAnsi="Arial" w:cs="Arial"/>
        </w:rPr>
        <w:lastRenderedPageBreak/>
        <w:t xml:space="preserve">This includes reliability </w:t>
      </w:r>
      <w:proofErr w:type="gramStart"/>
      <w:r w:rsidRPr="00746F54">
        <w:rPr>
          <w:rFonts w:ascii="Arial" w:hAnsi="Arial" w:cs="Arial"/>
        </w:rPr>
        <w:t>demand response</w:t>
      </w:r>
      <w:proofErr w:type="gramEnd"/>
      <w:r w:rsidRPr="00746F54">
        <w:rPr>
          <w:rFonts w:ascii="Arial" w:hAnsi="Arial" w:cs="Arial"/>
        </w:rPr>
        <w:t xml:space="preserve"> resources (RDRR), which is a participation model available to all entities.  CISO BAA’s accounting for RDRR is set forth in the supplement to this Business Practice Manual.  Other EDAM Entities with RDRR may similarly account for such resources as supply-side demand response resources.  Entities accounting for RDRR </w:t>
      </w:r>
      <w:r w:rsidRPr="00746F54">
        <w:rPr>
          <w:rFonts w:ascii="Arial" w:hAnsi="Arial" w:cs="Arial"/>
          <w:b/>
          <w:bCs/>
        </w:rPr>
        <w:t>will not</w:t>
      </w:r>
      <w:r w:rsidRPr="00746F54">
        <w:rPr>
          <w:rFonts w:ascii="Arial" w:hAnsi="Arial" w:cs="Arial"/>
        </w:rPr>
        <w:t xml:space="preserve"> utilize the process for adjustments to demand forecasts explained in Section 3.1.6 of this Business Practice Manual but will follow the process below</w:t>
      </w:r>
      <w:r w:rsidR="002E1230" w:rsidRPr="00746F54">
        <w:rPr>
          <w:rFonts w:ascii="Arial" w:hAnsi="Arial" w:cs="Arial"/>
        </w:rPr>
        <w:t xml:space="preserve"> for these supply-side participation models</w:t>
      </w:r>
      <w:r w:rsidRPr="00746F54">
        <w:rPr>
          <w:rFonts w:ascii="Arial" w:hAnsi="Arial" w:cs="Arial"/>
        </w:rPr>
        <w:t xml:space="preserve">. </w:t>
      </w:r>
    </w:p>
    <w:p w14:paraId="7A432429" w14:textId="77777777" w:rsidR="00691D5E" w:rsidRPr="00746F54" w:rsidRDefault="00691D5E" w:rsidP="00691D5E">
      <w:pPr>
        <w:pStyle w:val="ListParagraph"/>
        <w:spacing w:after="0" w:line="360" w:lineRule="auto"/>
        <w:rPr>
          <w:rFonts w:ascii="Arial" w:hAnsi="Arial" w:cs="Arial"/>
          <w:b/>
          <w:bCs/>
        </w:rPr>
      </w:pPr>
    </w:p>
    <w:p w14:paraId="7CCF2D1B" w14:textId="77777777" w:rsidR="00691D5E" w:rsidRPr="00746F54" w:rsidRDefault="00691D5E" w:rsidP="00691D5E">
      <w:pPr>
        <w:pStyle w:val="ListParagraph"/>
        <w:spacing w:after="0" w:line="360" w:lineRule="auto"/>
        <w:rPr>
          <w:rFonts w:ascii="Arial" w:hAnsi="Arial" w:cs="Arial"/>
        </w:rPr>
      </w:pPr>
      <w:r w:rsidRPr="00746F54">
        <w:rPr>
          <w:rFonts w:ascii="Arial" w:hAnsi="Arial" w:cs="Arial"/>
        </w:rPr>
        <w:t xml:space="preserve">EDAM entities with supply-side RDRRs should consider whether such resources are reflected in the 9 a.m. advisory RSE results.  If not, then the entity may account for RDRR as an adjustment to the RSE in accordance with the procedures set forth below.  This adjustment should only be used to account for available RDRR capacity that did not submit a day-ahead offer by 9 a.m., as any RDRR capacity offered into the day-ahead market by 9 a.m. would already be reflected in the advisory RSE results.  Any RDRR adjustments must correspond to the expected use of the RDRR based on a reasonable expectation that it will enable or deploy the resources as conditions will materialize in real-time.   </w:t>
      </w:r>
      <w:bookmarkStart w:id="198" w:name="_Hlk206156006"/>
    </w:p>
    <w:p w14:paraId="33025A86" w14:textId="77777777" w:rsidR="00691D5E" w:rsidRPr="00746F54" w:rsidRDefault="00691D5E" w:rsidP="00691D5E">
      <w:pPr>
        <w:pStyle w:val="ListParagraph"/>
        <w:spacing w:after="0" w:line="360" w:lineRule="auto"/>
        <w:rPr>
          <w:rFonts w:ascii="Arial" w:hAnsi="Arial" w:cs="Arial"/>
          <w:b/>
          <w:bCs/>
        </w:rPr>
      </w:pPr>
      <w:r w:rsidRPr="00746F54">
        <w:rPr>
          <w:rFonts w:ascii="Arial" w:hAnsi="Arial" w:cs="Arial"/>
          <w:b/>
          <w:bCs/>
        </w:rPr>
        <w:t>EDAM Entity Process of Adding RDRR to RSE:</w:t>
      </w:r>
    </w:p>
    <w:p w14:paraId="7C5787F0" w14:textId="77777777" w:rsidR="00691D5E" w:rsidRPr="00746F54" w:rsidRDefault="00691D5E" w:rsidP="00691D5E">
      <w:pPr>
        <w:pStyle w:val="ListParagraph"/>
        <w:spacing w:after="0" w:line="360" w:lineRule="auto"/>
        <w:ind w:left="1440"/>
        <w:rPr>
          <w:rFonts w:ascii="Arial" w:hAnsi="Arial" w:cs="Arial"/>
          <w:b/>
          <w:bCs/>
        </w:rPr>
      </w:pPr>
      <w:r w:rsidRPr="00746F54">
        <w:rPr>
          <w:rFonts w:ascii="Arial" w:hAnsi="Arial" w:cs="Arial"/>
          <w:b/>
          <w:bCs/>
        </w:rPr>
        <w:t>EDAM BAA Operator Action:</w:t>
      </w:r>
    </w:p>
    <w:p w14:paraId="45070A68" w14:textId="77777777" w:rsidR="00691D5E" w:rsidRPr="00746F54" w:rsidRDefault="00691D5E" w:rsidP="00691D5E">
      <w:pPr>
        <w:pStyle w:val="ListParagraph"/>
        <w:numPr>
          <w:ilvl w:val="0"/>
          <w:numId w:val="105"/>
        </w:numPr>
        <w:spacing w:after="0" w:line="360" w:lineRule="auto"/>
        <w:rPr>
          <w:rFonts w:ascii="Arial" w:hAnsi="Arial" w:cs="Arial"/>
        </w:rPr>
      </w:pPr>
      <w:r w:rsidRPr="00746F54">
        <w:rPr>
          <w:rFonts w:ascii="Arial" w:hAnsi="Arial" w:cs="Arial"/>
        </w:rPr>
        <w:t>After 09:00 DA RSE, EDAM BAA operator determines whether conditions for including RDRR/equivalent resources in the DA RSE have been met</w:t>
      </w:r>
    </w:p>
    <w:p w14:paraId="3A271A50" w14:textId="77777777" w:rsidR="00691D5E" w:rsidRPr="00746F54" w:rsidRDefault="00691D5E" w:rsidP="00691D5E">
      <w:pPr>
        <w:pStyle w:val="ListParagraph"/>
        <w:numPr>
          <w:ilvl w:val="0"/>
          <w:numId w:val="105"/>
        </w:numPr>
        <w:spacing w:after="0" w:line="360" w:lineRule="auto"/>
        <w:rPr>
          <w:rFonts w:ascii="Arial" w:hAnsi="Arial" w:cs="Arial"/>
        </w:rPr>
      </w:pPr>
      <w:r w:rsidRPr="00746F54">
        <w:rPr>
          <w:rFonts w:ascii="Arial" w:hAnsi="Arial" w:cs="Arial"/>
        </w:rPr>
        <w:t>EDAM BAA operator determines how much RDRR/equivalent resource capacity to include in the RSE and in which hours, and communicates this to the CAISO market operator</w:t>
      </w:r>
    </w:p>
    <w:bookmarkEnd w:id="197"/>
    <w:bookmarkEnd w:id="198"/>
    <w:p w14:paraId="0929436F" w14:textId="77777777" w:rsidR="00691D5E" w:rsidRPr="00746F54" w:rsidRDefault="00691D5E" w:rsidP="00691D5E">
      <w:pPr>
        <w:pStyle w:val="ListParagraph"/>
        <w:spacing w:after="0" w:line="360" w:lineRule="auto"/>
        <w:ind w:left="1440"/>
        <w:rPr>
          <w:rFonts w:ascii="Arial" w:hAnsi="Arial" w:cs="Arial"/>
        </w:rPr>
      </w:pPr>
    </w:p>
    <w:p w14:paraId="0F0CC109" w14:textId="77777777" w:rsidR="00691D5E" w:rsidRPr="00746F54" w:rsidRDefault="00691D5E" w:rsidP="00691D5E">
      <w:pPr>
        <w:pStyle w:val="ListParagraph"/>
        <w:numPr>
          <w:ilvl w:val="0"/>
          <w:numId w:val="103"/>
        </w:numPr>
        <w:rPr>
          <w:rFonts w:ascii="Arial" w:hAnsi="Arial" w:cs="Arial"/>
          <w:b/>
          <w:bCs/>
        </w:rPr>
      </w:pPr>
      <w:bookmarkStart w:id="199" w:name="_Hlk204675937"/>
      <w:r w:rsidRPr="00746F54">
        <w:rPr>
          <w:rFonts w:ascii="Arial" w:hAnsi="Arial" w:cs="Arial"/>
          <w:b/>
          <w:bCs/>
        </w:rPr>
        <w:t>Additional Actions EDAM Entities May Take to Attempt to Cure RSE Failures</w:t>
      </w:r>
    </w:p>
    <w:p w14:paraId="77562339" w14:textId="77777777" w:rsidR="00691D5E" w:rsidRPr="00746F54" w:rsidRDefault="00691D5E" w:rsidP="00691D5E">
      <w:pPr>
        <w:spacing w:line="360" w:lineRule="auto"/>
        <w:ind w:left="1080"/>
        <w:rPr>
          <w:rFonts w:ascii="Arial" w:hAnsi="Arial" w:cs="Arial"/>
        </w:rPr>
      </w:pPr>
      <w:r w:rsidRPr="00746F54">
        <w:rPr>
          <w:rFonts w:ascii="Arial" w:hAnsi="Arial" w:cs="Arial"/>
        </w:rPr>
        <w:t xml:space="preserve">As noted above, EDAM BAAs will examine its RSE position throughout each morning. If by 9 a.m. the EDAM BA expects an upward RSE shortfall based on these results, it may need to act. If the shortfall reveals threats to system reliability, entities may be informed by the resource sufficiency evaluation results as part of their individual evaluation of utilizing Exceptional Dispatch (CISO BAA) authority or Manual Dispatch (EDAM entities).  To the extent an EDAM RSE shortfall is indicative </w:t>
      </w:r>
      <w:r w:rsidRPr="00746F54">
        <w:rPr>
          <w:rFonts w:ascii="Arial" w:hAnsi="Arial" w:cs="Arial"/>
        </w:rPr>
        <w:lastRenderedPageBreak/>
        <w:t xml:space="preserve">of the CISO BAA potentially not having a reliable next-day operating plan, the advisory RSE is serving as an additional reliability indicator available to BA system operators as they exercise their existing discretionary authority to resolve potential reliability problems.  EDAM entities may view it similarly.  Exercise of  Exceptional Dispatch or Manual Dispatch authority considers the economics and efficiency of the available supply to the extent possible, consistent with existing Exceptional Dispatch and Manual Dispatch practices. </w:t>
      </w:r>
    </w:p>
    <w:p w14:paraId="3E92414F" w14:textId="77777777" w:rsidR="00691D5E" w:rsidRPr="00746F54" w:rsidRDefault="00691D5E" w:rsidP="00691D5E">
      <w:pPr>
        <w:spacing w:line="360" w:lineRule="auto"/>
        <w:ind w:left="1080"/>
        <w:rPr>
          <w:rFonts w:ascii="Arial" w:hAnsi="Arial" w:cs="Arial"/>
          <w:b/>
          <w:bCs/>
        </w:rPr>
      </w:pPr>
      <w:r w:rsidRPr="00746F54">
        <w:rPr>
          <w:rFonts w:ascii="Arial" w:hAnsi="Arial" w:cs="Arial"/>
          <w:b/>
          <w:bCs/>
        </w:rPr>
        <w:t>EDAM Entity Process to Create a Day-Ahead Manual Dispatch</w:t>
      </w:r>
    </w:p>
    <w:p w14:paraId="0BE05A6E" w14:textId="1ACB9A46" w:rsidR="00691D5E" w:rsidRPr="00746F54" w:rsidRDefault="00691D5E" w:rsidP="00691D5E">
      <w:pPr>
        <w:spacing w:line="360" w:lineRule="auto"/>
        <w:ind w:left="1080"/>
        <w:rPr>
          <w:rFonts w:ascii="Arial" w:hAnsi="Arial" w:cs="Arial"/>
        </w:rPr>
      </w:pPr>
      <w:r w:rsidRPr="0097362D">
        <w:rPr>
          <w:rFonts w:ascii="Arial" w:hAnsi="Arial" w:cs="Arial"/>
        </w:rPr>
        <w:t>By 09:00, the</w:t>
      </w:r>
      <w:r w:rsidRPr="00746F54">
        <w:rPr>
          <w:rFonts w:ascii="Arial" w:hAnsi="Arial" w:cs="Arial"/>
        </w:rPr>
        <w:t xml:space="preserve"> EDAM entity shall:</w:t>
      </w:r>
    </w:p>
    <w:p w14:paraId="38F9E290" w14:textId="77777777" w:rsidR="00691D5E" w:rsidRPr="00746F54" w:rsidRDefault="00691D5E" w:rsidP="00691D5E">
      <w:pPr>
        <w:spacing w:line="360" w:lineRule="auto"/>
        <w:ind w:left="1080"/>
        <w:rPr>
          <w:rFonts w:ascii="Arial" w:hAnsi="Arial" w:cs="Arial"/>
        </w:rPr>
      </w:pPr>
      <w:r w:rsidRPr="00746F54">
        <w:rPr>
          <w:rFonts w:ascii="Arial" w:hAnsi="Arial" w:cs="Arial"/>
        </w:rPr>
        <w:t>•</w:t>
      </w:r>
      <w:r w:rsidRPr="00746F54">
        <w:rPr>
          <w:rFonts w:ascii="Arial" w:hAnsi="Arial" w:cs="Arial"/>
        </w:rPr>
        <w:tab/>
        <w:t xml:space="preserve">Provide the Market operator with the </w:t>
      </w:r>
      <w:proofErr w:type="gramStart"/>
      <w:r w:rsidRPr="00746F54">
        <w:rPr>
          <w:rFonts w:ascii="Arial" w:hAnsi="Arial" w:cs="Arial"/>
        </w:rPr>
        <w:t>resource</w:t>
      </w:r>
      <w:proofErr w:type="gramEnd"/>
      <w:r w:rsidRPr="00746F54">
        <w:rPr>
          <w:rFonts w:ascii="Arial" w:hAnsi="Arial" w:cs="Arial"/>
        </w:rPr>
        <w:t>, MWs and timing requirements.</w:t>
      </w:r>
    </w:p>
    <w:p w14:paraId="6575756B" w14:textId="77777777" w:rsidR="00691D5E" w:rsidRPr="00746F54" w:rsidRDefault="00691D5E" w:rsidP="00691D5E">
      <w:pPr>
        <w:spacing w:line="360" w:lineRule="auto"/>
        <w:ind w:left="1080"/>
        <w:rPr>
          <w:rFonts w:ascii="Arial" w:hAnsi="Arial" w:cs="Arial"/>
        </w:rPr>
      </w:pPr>
      <w:r w:rsidRPr="00746F54">
        <w:rPr>
          <w:rFonts w:ascii="Arial" w:hAnsi="Arial" w:cs="Arial"/>
        </w:rPr>
        <w:t>•</w:t>
      </w:r>
      <w:r w:rsidRPr="00746F54">
        <w:rPr>
          <w:rFonts w:ascii="Arial" w:hAnsi="Arial" w:cs="Arial"/>
        </w:rPr>
        <w:tab/>
        <w:t xml:space="preserve">Create a matching forward-dated Manual Dispatch in the WEIM BAAOP system </w:t>
      </w:r>
    </w:p>
    <w:bookmarkEnd w:id="199"/>
    <w:p w14:paraId="065DD571" w14:textId="7DD8D167" w:rsidR="00691D5E" w:rsidRPr="00746F54" w:rsidRDefault="00691D5E" w:rsidP="00691D5E">
      <w:pPr>
        <w:pStyle w:val="ListParagraph"/>
        <w:spacing w:line="360" w:lineRule="auto"/>
        <w:rPr>
          <w:rFonts w:ascii="Arial" w:hAnsi="Arial" w:cs="Arial"/>
        </w:rPr>
      </w:pPr>
      <w:r w:rsidRPr="00746F54">
        <w:rPr>
          <w:rFonts w:ascii="Arial" w:hAnsi="Arial" w:cs="Arial"/>
        </w:rPr>
        <w:t>RSE Resupply Flowchart:</w:t>
      </w:r>
    </w:p>
    <w:p w14:paraId="58D20E51" w14:textId="77777777" w:rsidR="00691D5E" w:rsidRPr="00746F54" w:rsidRDefault="00691D5E" w:rsidP="00691D5E">
      <w:pPr>
        <w:rPr>
          <w:rFonts w:ascii="Arial" w:hAnsi="Arial" w:cs="Arial"/>
        </w:rPr>
      </w:pPr>
      <w:r w:rsidRPr="00746F54">
        <w:rPr>
          <w:rFonts w:ascii="Arial" w:hAnsi="Arial" w:cs="Arial"/>
          <w:noProof/>
        </w:rPr>
        <w:drawing>
          <wp:inline distT="0" distB="0" distL="0" distR="0" wp14:anchorId="48482B37" wp14:editId="13AEB879">
            <wp:extent cx="5724525" cy="3443277"/>
            <wp:effectExtent l="0" t="0" r="0" b="5080"/>
            <wp:docPr id="781237359" name="Picture 1" descr="A diagram of a comput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7359" name="Picture 1" descr="A diagram of a computer program"/>
                    <pic:cNvPicPr/>
                  </pic:nvPicPr>
                  <pic:blipFill>
                    <a:blip r:embed="rId22"/>
                    <a:stretch>
                      <a:fillRect/>
                    </a:stretch>
                  </pic:blipFill>
                  <pic:spPr>
                    <a:xfrm>
                      <a:off x="0" y="0"/>
                      <a:ext cx="5725661" cy="3443960"/>
                    </a:xfrm>
                    <a:prstGeom prst="rect">
                      <a:avLst/>
                    </a:prstGeom>
                  </pic:spPr>
                </pic:pic>
              </a:graphicData>
            </a:graphic>
          </wp:inline>
        </w:drawing>
      </w:r>
    </w:p>
    <w:p w14:paraId="0D7C1118" w14:textId="77777777" w:rsidR="00691D5E" w:rsidRPr="00746F54" w:rsidRDefault="00691D5E" w:rsidP="00691D5E">
      <w:pPr>
        <w:rPr>
          <w:rFonts w:ascii="Arial" w:hAnsi="Arial" w:cs="Arial"/>
        </w:rPr>
      </w:pPr>
    </w:p>
    <w:p w14:paraId="3C3AE270" w14:textId="37BC4EAE" w:rsidR="00691D5E" w:rsidRPr="00746F54" w:rsidRDefault="00691D5E" w:rsidP="006E21B3">
      <w:pPr>
        <w:rPr>
          <w:rFonts w:ascii="Arial" w:hAnsi="Arial" w:cs="Arial"/>
        </w:rPr>
      </w:pPr>
      <w:r w:rsidRPr="00746F54">
        <w:rPr>
          <w:rFonts w:ascii="Arial" w:hAnsi="Arial" w:cs="Arial"/>
          <w:noProof/>
        </w:rPr>
        <w:lastRenderedPageBreak/>
        <w:drawing>
          <wp:inline distT="0" distB="0" distL="0" distR="0" wp14:anchorId="30E7A51E" wp14:editId="41B63B5A">
            <wp:extent cx="5848350" cy="3717701"/>
            <wp:effectExtent l="0" t="0" r="0" b="0"/>
            <wp:docPr id="1459554891" name="Picture 1" descr="A diagram of 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54891" name="Picture 1" descr="A diagram of a test"/>
                    <pic:cNvPicPr/>
                  </pic:nvPicPr>
                  <pic:blipFill>
                    <a:blip r:embed="rId23"/>
                    <a:stretch>
                      <a:fillRect/>
                    </a:stretch>
                  </pic:blipFill>
                  <pic:spPr>
                    <a:xfrm>
                      <a:off x="0" y="0"/>
                      <a:ext cx="5849610" cy="3718502"/>
                    </a:xfrm>
                    <a:prstGeom prst="rect">
                      <a:avLst/>
                    </a:prstGeom>
                  </pic:spPr>
                </pic:pic>
              </a:graphicData>
            </a:graphic>
          </wp:inline>
        </w:drawing>
      </w:r>
    </w:p>
    <w:p w14:paraId="3A0DA60C" w14:textId="56317A29" w:rsidR="00691D5E" w:rsidRPr="00746F54" w:rsidRDefault="002E1230" w:rsidP="006E21B3">
      <w:pPr>
        <w:pStyle w:val="Heading3"/>
        <w:rPr>
          <w:rFonts w:ascii="Arial" w:hAnsi="Arial" w:cs="Arial"/>
        </w:rPr>
      </w:pPr>
      <w:bookmarkStart w:id="200" w:name="_Toc211337953"/>
      <w:r w:rsidRPr="00746F54">
        <w:rPr>
          <w:rFonts w:ascii="Arial" w:hAnsi="Arial" w:cs="Arial"/>
        </w:rPr>
        <w:t xml:space="preserve">Process for EDAM Resources and Intertie Resources to Register RSE-Eligible Supply </w:t>
      </w:r>
      <w:bookmarkEnd w:id="200"/>
    </w:p>
    <w:p w14:paraId="38A7FF83" w14:textId="7C74908D" w:rsidR="00691D5E" w:rsidRPr="00746F54" w:rsidRDefault="00691D5E" w:rsidP="006E21B3">
      <w:pPr>
        <w:rPr>
          <w:rFonts w:ascii="Arial" w:hAnsi="Arial" w:cs="Arial"/>
        </w:rPr>
      </w:pPr>
      <w:r w:rsidRPr="00746F54">
        <w:rPr>
          <w:rFonts w:ascii="Arial" w:hAnsi="Arial" w:cs="Arial"/>
        </w:rPr>
        <w:t>In the initial on-boarding process, and thereafter, EDAM entities may establish their RSE-eligible supply.  EDAM resources and intertie resources qualified to register, and registered, are RSE-eligible supply upon satisfaction of the requirements set forth below. All resources within the C</w:t>
      </w:r>
      <w:r w:rsidR="002E1230" w:rsidRPr="00746F54">
        <w:rPr>
          <w:rFonts w:ascii="Arial" w:hAnsi="Arial" w:cs="Arial"/>
        </w:rPr>
        <w:t xml:space="preserve">ISO BAA </w:t>
      </w:r>
      <w:r w:rsidRPr="00746F54">
        <w:rPr>
          <w:rFonts w:ascii="Arial" w:hAnsi="Arial" w:cs="Arial"/>
        </w:rPr>
        <w:t xml:space="preserve">are registered as RSE-eligible supply and not subject to additional registration requirements.  </w:t>
      </w:r>
    </w:p>
    <w:p w14:paraId="200226AC" w14:textId="77777777" w:rsidR="00691D5E" w:rsidRPr="00746F54" w:rsidRDefault="00691D5E" w:rsidP="00691D5E">
      <w:pPr>
        <w:pStyle w:val="Heading5"/>
        <w:rPr>
          <w:rFonts w:ascii="Arial" w:hAnsi="Arial" w:cs="Arial"/>
        </w:rPr>
      </w:pPr>
      <w:r w:rsidRPr="00746F54">
        <w:rPr>
          <w:rFonts w:ascii="Arial" w:hAnsi="Arial" w:cs="Arial"/>
        </w:rPr>
        <w:t xml:space="preserve">EDAM Resources </w:t>
      </w:r>
    </w:p>
    <w:p w14:paraId="0D926569" w14:textId="77777777" w:rsidR="00691D5E" w:rsidRPr="00746F54" w:rsidRDefault="00691D5E" w:rsidP="006E21B3">
      <w:pPr>
        <w:rPr>
          <w:rFonts w:ascii="Arial" w:hAnsi="Arial" w:cs="Arial"/>
        </w:rPr>
      </w:pPr>
      <w:r w:rsidRPr="00746F54">
        <w:rPr>
          <w:rFonts w:ascii="Arial" w:hAnsi="Arial" w:cs="Arial"/>
        </w:rPr>
        <w:t xml:space="preserve">EDAM resources include all resources within the balancing area of the EDAM entity, including but not limited to generating units, storage resources, distributed energy resource providers, and demand response providers.  </w:t>
      </w:r>
    </w:p>
    <w:p w14:paraId="44492737" w14:textId="77777777" w:rsidR="00691D5E" w:rsidRPr="00746F54" w:rsidRDefault="00691D5E" w:rsidP="006E21B3">
      <w:pPr>
        <w:rPr>
          <w:rFonts w:ascii="Arial" w:hAnsi="Arial" w:cs="Arial"/>
        </w:rPr>
      </w:pPr>
      <w:r w:rsidRPr="00746F54">
        <w:rPr>
          <w:rFonts w:ascii="Arial" w:hAnsi="Arial" w:cs="Arial"/>
        </w:rPr>
        <w:t xml:space="preserve">Eligible EDAM resources will be registered by the applicable scheduling coordinator with eligibility contingent on the resource maintaining its status as a CAISO-metered entity or scheduling coordinator metered entity, as applicable, and compliance with Section 10 of the CAISO Tariff.   </w:t>
      </w:r>
    </w:p>
    <w:p w14:paraId="45723A0E" w14:textId="77777777" w:rsidR="00691D5E" w:rsidRPr="00746F54" w:rsidRDefault="00691D5E" w:rsidP="00691D5E">
      <w:pPr>
        <w:pStyle w:val="Heading5"/>
        <w:rPr>
          <w:rFonts w:ascii="Arial" w:hAnsi="Arial" w:cs="Arial"/>
        </w:rPr>
      </w:pPr>
      <w:r w:rsidRPr="00746F54">
        <w:rPr>
          <w:rFonts w:ascii="Arial" w:hAnsi="Arial" w:cs="Arial"/>
        </w:rPr>
        <w:t xml:space="preserve">EDAM Intertie Resources </w:t>
      </w:r>
    </w:p>
    <w:p w14:paraId="4A29F317" w14:textId="25B0C0A1" w:rsidR="00691D5E" w:rsidRPr="00746F54" w:rsidRDefault="00691D5E" w:rsidP="006E21B3">
      <w:pPr>
        <w:rPr>
          <w:rFonts w:ascii="Arial" w:hAnsi="Arial" w:cs="Arial"/>
        </w:rPr>
      </w:pPr>
      <w:r w:rsidRPr="00746F54">
        <w:rPr>
          <w:rFonts w:ascii="Arial" w:hAnsi="Arial" w:cs="Arial"/>
        </w:rPr>
        <w:t xml:space="preserve">EDAM intertie resources include any resource, including pseudo-tied and </w:t>
      </w:r>
      <w:proofErr w:type="gramStart"/>
      <w:r w:rsidRPr="00746F54">
        <w:rPr>
          <w:rFonts w:ascii="Arial" w:hAnsi="Arial" w:cs="Arial"/>
        </w:rPr>
        <w:t>dynamically-scheduled</w:t>
      </w:r>
      <w:proofErr w:type="gramEnd"/>
      <w:r w:rsidRPr="00746F54">
        <w:rPr>
          <w:rFonts w:ascii="Arial" w:hAnsi="Arial" w:cs="Arial"/>
        </w:rPr>
        <w:t xml:space="preserve"> resources, </w:t>
      </w:r>
      <w:r w:rsidR="003F76EC" w:rsidRPr="00746F54">
        <w:rPr>
          <w:rFonts w:ascii="Arial" w:hAnsi="Arial" w:cs="Arial"/>
        </w:rPr>
        <w:t>which</w:t>
      </w:r>
      <w:r w:rsidRPr="00746F54">
        <w:rPr>
          <w:rFonts w:ascii="Arial" w:hAnsi="Arial" w:cs="Arial"/>
        </w:rPr>
        <w:t xml:space="preserve"> submits bids at the border of an EDAM BAA and a non-EDAM </w:t>
      </w:r>
      <w:r w:rsidRPr="00746F54">
        <w:rPr>
          <w:rFonts w:ascii="Arial" w:hAnsi="Arial" w:cs="Arial"/>
        </w:rPr>
        <w:lastRenderedPageBreak/>
        <w:t xml:space="preserve">BAA.  This includes resources submitting bids at the border where the CAISO balancing authority area joins the border of a non-EDAM BAA.  Intertie resources eligible to register for the RSE include resources bidding at the border of the CAISO balancing authority area that are associated with a forward contract with a load serving entity within the CAISO balancing authority area and/or otherwise possess a reasonable expectation of delivery to the CAISO balancing authority area.  </w:t>
      </w:r>
    </w:p>
    <w:p w14:paraId="465FA88D" w14:textId="77777777" w:rsidR="00691D5E" w:rsidRPr="00746F54" w:rsidRDefault="00691D5E" w:rsidP="006E21B3">
      <w:pPr>
        <w:rPr>
          <w:rFonts w:ascii="Arial" w:hAnsi="Arial" w:cs="Arial"/>
        </w:rPr>
      </w:pPr>
      <w:r w:rsidRPr="00746F54">
        <w:rPr>
          <w:rFonts w:ascii="Arial" w:hAnsi="Arial" w:cs="Arial"/>
        </w:rPr>
        <w:t xml:space="preserve">Eligible intertie resources will be registered by the applicable scheduling coordinator with registration contingent upon CAISO, as the market operator, receipt of an authorized affidavit certifying the MW portion(s) (1) associated with a forward contract with a load-serving entity within the CAISO balancing authority area, and/or (2) for which a reasonable expectation of delivery exists.  </w:t>
      </w:r>
    </w:p>
    <w:p w14:paraId="5ED1F1FA" w14:textId="1EDA76AC" w:rsidR="00691D5E" w:rsidRPr="00746F54" w:rsidRDefault="002E1230" w:rsidP="006E21B3">
      <w:pPr>
        <w:pStyle w:val="Heading3"/>
        <w:rPr>
          <w:rFonts w:ascii="Arial" w:hAnsi="Arial" w:cs="Arial"/>
        </w:rPr>
      </w:pPr>
      <w:bookmarkStart w:id="201" w:name="_Toc211337954"/>
      <w:r w:rsidRPr="00746F54">
        <w:rPr>
          <w:rFonts w:ascii="Arial" w:hAnsi="Arial" w:cs="Arial"/>
        </w:rPr>
        <w:t xml:space="preserve">Process for Market Operator to Establish RSE Obligations </w:t>
      </w:r>
      <w:bookmarkEnd w:id="201"/>
    </w:p>
    <w:p w14:paraId="373CEBF9" w14:textId="77777777" w:rsidR="00691D5E" w:rsidRPr="00746F54" w:rsidRDefault="00691D5E" w:rsidP="006E21B3">
      <w:pPr>
        <w:rPr>
          <w:rFonts w:ascii="Arial" w:hAnsi="Arial" w:cs="Arial"/>
        </w:rPr>
      </w:pPr>
      <w:r w:rsidRPr="00746F54">
        <w:rPr>
          <w:rFonts w:ascii="Arial" w:hAnsi="Arial" w:cs="Arial"/>
        </w:rPr>
        <w:t xml:space="preserve">The day-ahead resource sufficiency evaluation considers three demand obligations:  a forecast requirement, an imbalance reserve requirement, and an ancillary service requirement.  </w:t>
      </w:r>
    </w:p>
    <w:p w14:paraId="3735755E" w14:textId="77777777" w:rsidR="00691D5E" w:rsidRPr="00746F54" w:rsidRDefault="00691D5E" w:rsidP="006E21B3">
      <w:pPr>
        <w:rPr>
          <w:rFonts w:ascii="Arial" w:hAnsi="Arial" w:cs="Arial"/>
        </w:rPr>
      </w:pPr>
      <w:r w:rsidRPr="00746F54">
        <w:rPr>
          <w:rFonts w:ascii="Arial" w:hAnsi="Arial" w:cs="Arial"/>
        </w:rPr>
        <w:t xml:space="preserve">The market operator will establish advisory demand obligations per chosen elections finalized during onboarding detailed in Section 33 of the CAISO tariff for use in each advisory run of the day-ahead resource sufficiency evaluation performed in advance of 9 a.m.  In performing the binding run of the day-ahead resource sufficiency evaluation at approximately 10 a.m., the market </w:t>
      </w:r>
      <w:r w:rsidRPr="00746F54" w:rsidDel="00644225">
        <w:rPr>
          <w:rFonts w:ascii="Arial" w:hAnsi="Arial" w:cs="Arial"/>
        </w:rPr>
        <w:t xml:space="preserve">operator </w:t>
      </w:r>
      <w:r w:rsidRPr="00746F54">
        <w:rPr>
          <w:rFonts w:ascii="Arial" w:hAnsi="Arial" w:cs="Arial"/>
        </w:rPr>
        <w:t xml:space="preserve">will strive to utilize the same demand obligations as in the final 9 a.m. advisory run. </w:t>
      </w:r>
    </w:p>
    <w:p w14:paraId="18E45CAF" w14:textId="77777777" w:rsidR="00691D5E" w:rsidRPr="00746F54" w:rsidRDefault="00691D5E" w:rsidP="00691D5E">
      <w:pPr>
        <w:pStyle w:val="Heading5"/>
        <w:rPr>
          <w:rFonts w:ascii="Arial" w:hAnsi="Arial" w:cs="Arial"/>
        </w:rPr>
      </w:pPr>
      <w:r w:rsidRPr="00746F54">
        <w:rPr>
          <w:rFonts w:ascii="Arial" w:hAnsi="Arial" w:cs="Arial"/>
        </w:rPr>
        <w:t xml:space="preserve">Forecast Requirement </w:t>
      </w:r>
    </w:p>
    <w:p w14:paraId="0BC46EA2" w14:textId="77777777" w:rsidR="00691D5E" w:rsidRPr="00746F54" w:rsidRDefault="00691D5E" w:rsidP="006E21B3">
      <w:pPr>
        <w:rPr>
          <w:rFonts w:ascii="Arial" w:hAnsi="Arial" w:cs="Arial"/>
        </w:rPr>
      </w:pPr>
      <w:r w:rsidRPr="00746F54">
        <w:rPr>
          <w:rFonts w:ascii="Arial" w:hAnsi="Arial" w:cs="Arial"/>
        </w:rPr>
        <w:t>The market operator will establish the BAA Demand Forecast and the Variable Energy Resource Forecast for each EDAM Entity per chosen elections finalized during onboarding detailed in Section 33 of the CAISO tariff</w:t>
      </w:r>
      <w:r w:rsidRPr="00746F54">
        <w:rPr>
          <w:rStyle w:val="CommentReference"/>
          <w:rFonts w:ascii="Arial" w:hAnsi="Arial" w:cs="Arial"/>
        </w:rPr>
        <w:t>.</w:t>
      </w:r>
      <w:r w:rsidRPr="00746F54">
        <w:rPr>
          <w:rFonts w:ascii="Arial" w:hAnsi="Arial" w:cs="Arial"/>
        </w:rPr>
        <w:t xml:space="preserve"> The market operator will also establish the BAA Demand Forecast and the Variable Energy Resource Forecast for the CISO BAA.  Details on the BAA Demand Forecast and the Variable Energy Resource Forecast are discussed in Section 3.1.4.</w:t>
      </w:r>
      <w:r w:rsidRPr="00746F54" w:rsidDel="00080294">
        <w:rPr>
          <w:rFonts w:ascii="Arial" w:hAnsi="Arial" w:cs="Arial"/>
        </w:rPr>
        <w:t xml:space="preserve"> </w:t>
      </w:r>
      <w:r w:rsidRPr="00746F54">
        <w:rPr>
          <w:rFonts w:ascii="Arial" w:hAnsi="Arial" w:cs="Arial"/>
        </w:rPr>
        <w:t xml:space="preserve"> </w:t>
      </w:r>
    </w:p>
    <w:p w14:paraId="09D4F427" w14:textId="4AD54ED2" w:rsidR="00691D5E" w:rsidRPr="00746F54" w:rsidRDefault="00691D5E" w:rsidP="006E21B3">
      <w:pPr>
        <w:rPr>
          <w:rFonts w:ascii="Arial" w:hAnsi="Arial" w:cs="Arial"/>
        </w:rPr>
      </w:pPr>
      <w:bookmarkStart w:id="202" w:name="_Hlk209781888"/>
      <w:r w:rsidRPr="00746F54">
        <w:rPr>
          <w:rFonts w:ascii="Arial" w:hAnsi="Arial" w:cs="Arial"/>
        </w:rPr>
        <w:t>The market operator will publish the BAA Demand Forecast and Variable Energy Resources Forecast for each EDAM entity at 06:00 and 09:00 with additional publishing, if necessary.  Should additional time be required to ensure complete and accurate forecasting, the market operator may manually hold the 09:00 advisory DA RSE execution</w:t>
      </w:r>
      <w:r w:rsidR="002E1230" w:rsidRPr="00746F54">
        <w:rPr>
          <w:rFonts w:ascii="Arial" w:hAnsi="Arial" w:cs="Arial"/>
        </w:rPr>
        <w:t>, escalate</w:t>
      </w:r>
      <w:r w:rsidR="00AB48F2" w:rsidRPr="00746F54">
        <w:rPr>
          <w:rFonts w:ascii="Arial" w:hAnsi="Arial" w:cs="Arial"/>
        </w:rPr>
        <w:t xml:space="preserve">, </w:t>
      </w:r>
      <w:r w:rsidR="002E1230" w:rsidRPr="00746F54">
        <w:rPr>
          <w:rFonts w:ascii="Arial" w:hAnsi="Arial" w:cs="Arial"/>
        </w:rPr>
        <w:t xml:space="preserve">and send a notification as described above. </w:t>
      </w:r>
    </w:p>
    <w:bookmarkEnd w:id="202"/>
    <w:p w14:paraId="49A73197" w14:textId="77777777" w:rsidR="00691D5E" w:rsidRPr="00746F54" w:rsidRDefault="00691D5E" w:rsidP="00691D5E">
      <w:pPr>
        <w:pStyle w:val="Heading5"/>
        <w:rPr>
          <w:rFonts w:ascii="Arial" w:hAnsi="Arial" w:cs="Arial"/>
        </w:rPr>
      </w:pPr>
      <w:r w:rsidRPr="00746F54">
        <w:rPr>
          <w:rFonts w:ascii="Arial" w:hAnsi="Arial" w:cs="Arial"/>
        </w:rPr>
        <w:t>Imbalance Reserve Requirement</w:t>
      </w:r>
    </w:p>
    <w:p w14:paraId="2E265B41" w14:textId="23903324" w:rsidR="00691D5E" w:rsidRPr="00746F54" w:rsidRDefault="00691D5E" w:rsidP="006E21B3">
      <w:pPr>
        <w:rPr>
          <w:rFonts w:ascii="Arial" w:hAnsi="Arial" w:cs="Arial"/>
        </w:rPr>
      </w:pPr>
      <w:bookmarkStart w:id="203" w:name="_Hlk210197598"/>
      <w:r w:rsidRPr="00746F54">
        <w:rPr>
          <w:rFonts w:ascii="Arial" w:hAnsi="Arial" w:cs="Arial"/>
        </w:rPr>
        <w:t xml:space="preserve">The market </w:t>
      </w:r>
      <w:r w:rsidRPr="00746F54" w:rsidDel="00DE5C28">
        <w:rPr>
          <w:rFonts w:ascii="Arial" w:hAnsi="Arial" w:cs="Arial"/>
        </w:rPr>
        <w:t>operator</w:t>
      </w:r>
      <w:r w:rsidRPr="00746F54">
        <w:rPr>
          <w:rFonts w:ascii="Arial" w:hAnsi="Arial" w:cs="Arial"/>
        </w:rPr>
        <w:t xml:space="preserve"> will establish an imbalance reserve requirement for each balancing authority in the EDAM area in both the upwards and downwards direction.  The imbalance reserve requirements are established in accordance with Section 31.3.1.6 of the CAISO tariff and are discussed in further detail in Market Operations BPM and Market Operations Appendix.  </w:t>
      </w:r>
      <w:r w:rsidRPr="00746F54">
        <w:rPr>
          <w:rFonts w:ascii="Arial" w:hAnsi="Arial" w:cs="Arial"/>
        </w:rPr>
        <w:lastRenderedPageBreak/>
        <w:t xml:space="preserve">Adjustments to the Imbalance reserves requirements are not made by the market operator or EDAM entities.  For the resource sufficiency evaluation, an imbalance reserve requirement is calculated for the advisory executions starting at 06:00.  Upon publication of the final load forecast at 09:00, a final imbalance reserve requirement is calculated for the 10:00 binding resource sufficiency execution unless additional time is required to ensure complete and accurate imbalance reserve requirements. For more information on the resource sufficiency evaluation, see section 4.1.  </w:t>
      </w:r>
    </w:p>
    <w:bookmarkEnd w:id="203"/>
    <w:p w14:paraId="10878796" w14:textId="77777777" w:rsidR="00691D5E" w:rsidRPr="00746F54" w:rsidRDefault="00691D5E" w:rsidP="00691D5E">
      <w:pPr>
        <w:pStyle w:val="Heading5"/>
        <w:rPr>
          <w:rFonts w:ascii="Arial" w:hAnsi="Arial" w:cs="Arial"/>
        </w:rPr>
      </w:pPr>
      <w:r w:rsidRPr="00746F54">
        <w:rPr>
          <w:rFonts w:ascii="Arial" w:hAnsi="Arial" w:cs="Arial"/>
        </w:rPr>
        <w:t>Ancillary Service Requirement</w:t>
      </w:r>
    </w:p>
    <w:p w14:paraId="3A693718" w14:textId="2BDA96B6" w:rsidR="00691D5E" w:rsidRPr="00746F54" w:rsidRDefault="00691D5E" w:rsidP="006E21B3">
      <w:pPr>
        <w:rPr>
          <w:rFonts w:ascii="Arial" w:hAnsi="Arial" w:cs="Arial"/>
        </w:rPr>
      </w:pPr>
      <w:r w:rsidRPr="00746F54">
        <w:rPr>
          <w:rFonts w:ascii="Arial" w:hAnsi="Arial" w:cs="Arial"/>
        </w:rPr>
        <w:t xml:space="preserve">Based on the ancillary service requirements communicated by each EDAM entity, the market operator will utilize the communicated requirements to document the ancillary service requirement for each EDAM entity based on the ancillary service requirements communicated by the EDAM entity scheduling coordinator to the market operator prior to the advisory runs of the day-ahead resource sufficiency evaluation.  The appropriate entity should utilize the SIBR interface to submit the required values.  </w:t>
      </w:r>
    </w:p>
    <w:p w14:paraId="717376FF" w14:textId="77777777" w:rsidR="00691D5E" w:rsidRPr="00746F54" w:rsidRDefault="00691D5E" w:rsidP="006E21B3">
      <w:pPr>
        <w:rPr>
          <w:rFonts w:ascii="Arial" w:hAnsi="Arial" w:cs="Arial"/>
        </w:rPr>
      </w:pPr>
      <w:r w:rsidRPr="00746F54">
        <w:rPr>
          <w:rFonts w:ascii="Arial" w:hAnsi="Arial" w:cs="Arial"/>
        </w:rPr>
        <w:t xml:space="preserve">The market operator will establish the ancillary service requirement for the CAISO balancing authority area based on Section 8 of the CAISO tariff and the implementing business practice manuals.  </w:t>
      </w:r>
    </w:p>
    <w:p w14:paraId="75A90853" w14:textId="6ABE579D" w:rsidR="00691D5E" w:rsidRPr="00746F54" w:rsidRDefault="00691D5E" w:rsidP="006E21B3">
      <w:pPr>
        <w:rPr>
          <w:rFonts w:ascii="Arial" w:hAnsi="Arial" w:cs="Arial"/>
        </w:rPr>
      </w:pPr>
      <w:r w:rsidRPr="00746F54">
        <w:rPr>
          <w:rFonts w:ascii="Arial" w:hAnsi="Arial" w:cs="Arial"/>
        </w:rPr>
        <w:t>The ancillary service requirement utilized by the market operator</w:t>
      </w:r>
      <w:r w:rsidRPr="00746F54" w:rsidDel="002276D8">
        <w:rPr>
          <w:rFonts w:ascii="Arial" w:hAnsi="Arial" w:cs="Arial"/>
        </w:rPr>
        <w:t xml:space="preserve"> </w:t>
      </w:r>
      <w:r w:rsidRPr="00746F54">
        <w:rPr>
          <w:rFonts w:ascii="Arial" w:hAnsi="Arial" w:cs="Arial"/>
        </w:rPr>
        <w:t xml:space="preserve">in the 9 a.m. advisory run of the day-ahead resource sufficiency evaluation will be utilized in the 10 a.m. binding run of the day-ahead resource sufficiency evaluation unless additional time be required to ensure a complete and accurate </w:t>
      </w:r>
      <w:r w:rsidR="002E1230" w:rsidRPr="00746F54">
        <w:rPr>
          <w:rFonts w:ascii="Arial" w:hAnsi="Arial" w:cs="Arial"/>
        </w:rPr>
        <w:t>ancillary service requirements</w:t>
      </w:r>
      <w:r w:rsidRPr="00746F54">
        <w:rPr>
          <w:rFonts w:ascii="Arial" w:hAnsi="Arial" w:cs="Arial"/>
        </w:rPr>
        <w:t xml:space="preserve">.  </w:t>
      </w:r>
    </w:p>
    <w:p w14:paraId="70B1435F" w14:textId="77777777" w:rsidR="00691D5E" w:rsidRPr="00746F54" w:rsidRDefault="00691D5E" w:rsidP="00691D5E">
      <w:pPr>
        <w:pStyle w:val="Heading5"/>
        <w:rPr>
          <w:rFonts w:ascii="Arial" w:hAnsi="Arial" w:cs="Arial"/>
        </w:rPr>
      </w:pPr>
      <w:r w:rsidRPr="00746F54">
        <w:rPr>
          <w:rFonts w:ascii="Arial" w:hAnsi="Arial" w:cs="Arial"/>
        </w:rPr>
        <w:t>Demand Response/Load Modification Adjustments that are not RDRR</w:t>
      </w:r>
    </w:p>
    <w:p w14:paraId="5B729104" w14:textId="183385AC" w:rsidR="00691D5E" w:rsidRPr="00746F54" w:rsidRDefault="00691D5E" w:rsidP="006E21B3">
      <w:pPr>
        <w:rPr>
          <w:rFonts w:ascii="Arial" w:hAnsi="Arial" w:cs="Arial"/>
        </w:rPr>
      </w:pPr>
      <w:r w:rsidRPr="00746F54">
        <w:rPr>
          <w:rFonts w:ascii="Arial" w:hAnsi="Arial" w:cs="Arial"/>
        </w:rPr>
        <w:t>To account for demand response programs administered within its balancing area that do not qualify as RSE-eligible supply, and are not RDRR, each EDAM entity retains discretion to submit an adjustment to its CAISO Forecast of BAA Demand to account for such programs via API interfaces</w:t>
      </w:r>
      <w:r w:rsidR="006E21B3" w:rsidRPr="00746F54">
        <w:rPr>
          <w:rFonts w:ascii="Arial" w:hAnsi="Arial" w:cs="Arial"/>
        </w:rPr>
        <w:t xml:space="preserve">. </w:t>
      </w:r>
      <w:r w:rsidRPr="00746F54">
        <w:rPr>
          <w:rFonts w:ascii="Arial" w:hAnsi="Arial" w:cs="Arial"/>
        </w:rPr>
        <w:t xml:space="preserve"> The adjustments must be received prior to 07:00 a.m. before the Day-Ahead close for evaluation in the binding day-ahead resource sufficiency evaluation and applicable CAISO Forecast of BAA Demand. DR schedules submitted after 07:00 but prior to 09:00 will be considered for inclusion into the day-ahead CAISO Forecast of BAA demand where feasible on a case-by-case basis.</w:t>
      </w:r>
    </w:p>
    <w:p w14:paraId="553229E2" w14:textId="77777777" w:rsidR="00691D5E" w:rsidRPr="00746F54" w:rsidRDefault="00691D5E" w:rsidP="006E21B3">
      <w:pPr>
        <w:rPr>
          <w:rFonts w:ascii="Arial" w:hAnsi="Arial" w:cs="Arial"/>
        </w:rPr>
      </w:pPr>
      <w:r w:rsidRPr="00746F54">
        <w:rPr>
          <w:rFonts w:ascii="Arial" w:hAnsi="Arial" w:cs="Arial"/>
        </w:rPr>
        <w:t xml:space="preserve">EDAM entities submitting adjustments to the applicable CAISO Forecast of BAA demand for use in the binding day-ahead resource sufficiency evaluation must enable or deploy the reduction response corresponding to the adjustment consistent with the applicable requirements of the reduction response program.  </w:t>
      </w:r>
    </w:p>
    <w:p w14:paraId="007D9E5E" w14:textId="1F43B02A" w:rsidR="00691D5E" w:rsidRPr="00746F54" w:rsidRDefault="00691D5E" w:rsidP="006E21B3">
      <w:pPr>
        <w:rPr>
          <w:rFonts w:ascii="Arial" w:hAnsi="Arial" w:cs="Arial"/>
        </w:rPr>
      </w:pPr>
      <w:r w:rsidRPr="00746F54">
        <w:rPr>
          <w:rFonts w:ascii="Arial" w:hAnsi="Arial" w:cs="Arial"/>
        </w:rPr>
        <w:t xml:space="preserve">The CAISO’s use of the demand response and load modification adjustments to reflect programs administered within the CAISO balancing authority area is discussed in section 6.7.2.51. </w:t>
      </w:r>
      <w:r w:rsidR="002E1230" w:rsidRPr="00746F54">
        <w:rPr>
          <w:rFonts w:ascii="Arial" w:hAnsi="Arial" w:cs="Arial"/>
        </w:rPr>
        <w:t>of</w:t>
      </w:r>
      <w:r w:rsidRPr="00746F54">
        <w:rPr>
          <w:rFonts w:ascii="Arial" w:hAnsi="Arial" w:cs="Arial"/>
        </w:rPr>
        <w:t xml:space="preserve"> the Market Op</w:t>
      </w:r>
      <w:r w:rsidR="002E1230" w:rsidRPr="00746F54">
        <w:rPr>
          <w:rFonts w:ascii="Arial" w:hAnsi="Arial" w:cs="Arial"/>
        </w:rPr>
        <w:t>erations</w:t>
      </w:r>
      <w:r w:rsidRPr="00746F54">
        <w:rPr>
          <w:rFonts w:ascii="Arial" w:hAnsi="Arial" w:cs="Arial"/>
        </w:rPr>
        <w:t xml:space="preserve"> BPM.</w:t>
      </w:r>
    </w:p>
    <w:p w14:paraId="6E3138C3" w14:textId="77777777" w:rsidR="00691D5E" w:rsidRPr="00746F54" w:rsidRDefault="00691D5E" w:rsidP="00691D5E">
      <w:pPr>
        <w:ind w:left="720"/>
        <w:rPr>
          <w:rFonts w:ascii="Arial" w:hAnsi="Arial" w:cs="Arial"/>
        </w:rPr>
      </w:pPr>
    </w:p>
    <w:p w14:paraId="715B8F04" w14:textId="77777777" w:rsidR="00691D5E" w:rsidRPr="00746F54" w:rsidRDefault="00691D5E" w:rsidP="00691D5E">
      <w:pPr>
        <w:pStyle w:val="Heading5"/>
        <w:rPr>
          <w:rFonts w:ascii="Arial" w:hAnsi="Arial" w:cs="Arial"/>
        </w:rPr>
      </w:pPr>
      <w:r w:rsidRPr="00746F54">
        <w:rPr>
          <w:rFonts w:ascii="Arial" w:hAnsi="Arial" w:cs="Arial"/>
        </w:rPr>
        <w:lastRenderedPageBreak/>
        <w:t xml:space="preserve">Transfers Between EDAM BAAs in Support of EDAM RSE </w:t>
      </w:r>
    </w:p>
    <w:p w14:paraId="608A93B2" w14:textId="7ADAD20A" w:rsidR="00691D5E" w:rsidRPr="00746F54" w:rsidRDefault="00691D5E" w:rsidP="006E21B3">
      <w:pPr>
        <w:rPr>
          <w:rFonts w:ascii="Arial" w:hAnsi="Arial" w:cs="Arial"/>
        </w:rPr>
      </w:pPr>
      <w:r w:rsidRPr="00746F54">
        <w:rPr>
          <w:rFonts w:ascii="Arial" w:hAnsi="Arial" w:cs="Arial"/>
        </w:rPr>
        <w:t xml:space="preserve">To </w:t>
      </w:r>
      <w:r w:rsidR="002E1230" w:rsidRPr="00746F54">
        <w:rPr>
          <w:rFonts w:ascii="Arial" w:hAnsi="Arial" w:cs="Arial"/>
        </w:rPr>
        <w:t xml:space="preserve">implement the </w:t>
      </w:r>
      <w:r w:rsidRPr="00746F54">
        <w:rPr>
          <w:rFonts w:ascii="Arial" w:hAnsi="Arial" w:cs="Arial"/>
        </w:rPr>
        <w:t>account</w:t>
      </w:r>
      <w:r w:rsidR="002E1230" w:rsidRPr="00746F54">
        <w:rPr>
          <w:rFonts w:ascii="Arial" w:hAnsi="Arial" w:cs="Arial"/>
        </w:rPr>
        <w:t>ing</w:t>
      </w:r>
      <w:r w:rsidRPr="00746F54">
        <w:rPr>
          <w:rFonts w:ascii="Arial" w:hAnsi="Arial" w:cs="Arial"/>
        </w:rPr>
        <w:t xml:space="preserve"> for EDAM transfers supported by firm or conditional firm point-to-point transmission service or network integration transmission service across an EDAM Internal Intertie released in accordance with Section 33.18.2.1 of the CAISO tariff, the market operator will adjust the BAA Demand Forecast for each applicable entity to reduce the forecast obligation of the importing balancing authority area and to increase the forecast obligation of the exporting balancing authority area in an amount corresponding to the EDAM transfer supported by firm or conditional firm point-to-point transmission service or network integration transmission service across an EDAM Internal Intertie.  </w:t>
      </w:r>
      <w:r w:rsidR="002E1230" w:rsidRPr="00746F54">
        <w:rPr>
          <w:rFonts w:ascii="Arial" w:hAnsi="Arial" w:cs="Arial"/>
        </w:rPr>
        <w:t xml:space="preserve">This is referred to as the EDAM transfer adjustment.  </w:t>
      </w:r>
    </w:p>
    <w:p w14:paraId="3F510E9F" w14:textId="1CB23C1A" w:rsidR="00691D5E" w:rsidRPr="00746F54" w:rsidRDefault="00691D5E" w:rsidP="006E21B3">
      <w:pPr>
        <w:rPr>
          <w:rFonts w:ascii="Arial" w:hAnsi="Arial" w:cs="Arial"/>
        </w:rPr>
      </w:pPr>
      <w:r w:rsidRPr="00746F54">
        <w:rPr>
          <w:rFonts w:ascii="Arial" w:hAnsi="Arial" w:cs="Arial"/>
        </w:rPr>
        <w:t xml:space="preserve">To reflect transfers between EDAM BAAs in support of the EDAM RSE, the market operator will automatically reflect the corresponding adjustments in each advisory run of the </w:t>
      </w:r>
      <w:r w:rsidR="002E1230" w:rsidRPr="00746F54">
        <w:rPr>
          <w:rFonts w:ascii="Arial" w:hAnsi="Arial" w:cs="Arial"/>
        </w:rPr>
        <w:t>EDAM RSE</w:t>
      </w:r>
      <w:r w:rsidRPr="00746F54">
        <w:rPr>
          <w:rFonts w:ascii="Arial" w:hAnsi="Arial" w:cs="Arial"/>
        </w:rPr>
        <w:t>.  The EDAM transfer adjustment to the applicable BAA Demand Forecast utilized by the market operator in the 9 a.m. advisory run of the day-ahead resource sufficiency evaluation will be utilized in the 10 a.m. binding run of the day-ahead resource sufficiency evaluation unless it is feasible and consistent with good utility practice and judgement of the market operator to utilize an alternative forecast in the binding run of the day-ahead resource sufficiency evaluation.  Release of transfer capacity to EDAM must be completed prior to the 9 a.m. advisory run of the day-ahead resource sufficiency evaluation.</w:t>
      </w:r>
    </w:p>
    <w:p w14:paraId="23AAC660" w14:textId="388A3B15" w:rsidR="00691D5E" w:rsidRPr="00746F54" w:rsidRDefault="00691D5E" w:rsidP="00691D5E">
      <w:pPr>
        <w:pStyle w:val="Heading3"/>
        <w:rPr>
          <w:rFonts w:ascii="Arial" w:hAnsi="Arial" w:cs="Arial"/>
        </w:rPr>
      </w:pPr>
      <w:bookmarkStart w:id="204" w:name="_Toc211337955"/>
      <w:r w:rsidRPr="00746F54">
        <w:rPr>
          <w:rFonts w:ascii="Arial" w:hAnsi="Arial" w:cs="Arial"/>
        </w:rPr>
        <w:t>Conducting the EDAM RSE</w:t>
      </w:r>
      <w:bookmarkEnd w:id="204"/>
      <w:r w:rsidRPr="00746F54">
        <w:rPr>
          <w:rFonts w:ascii="Arial" w:hAnsi="Arial" w:cs="Arial"/>
        </w:rPr>
        <w:t xml:space="preserve"> </w:t>
      </w:r>
    </w:p>
    <w:p w14:paraId="01371C17" w14:textId="6C9435AD" w:rsidR="006E21B3" w:rsidRPr="00746F54" w:rsidRDefault="006E21B3" w:rsidP="006E21B3">
      <w:pPr>
        <w:rPr>
          <w:rFonts w:ascii="Arial" w:hAnsi="Arial" w:cs="Arial"/>
          <w:u w:val="single"/>
        </w:rPr>
      </w:pPr>
      <w:r w:rsidRPr="00746F54">
        <w:rPr>
          <w:rFonts w:ascii="Arial" w:hAnsi="Arial" w:cs="Arial"/>
          <w:u w:val="single"/>
        </w:rPr>
        <w:t>Reference tariff sections 33.31.1.3, 33.31.1.4, and 33.31.1.6</w:t>
      </w:r>
    </w:p>
    <w:p w14:paraId="698917D4" w14:textId="10AE13B7" w:rsidR="00691D5E" w:rsidRPr="00746F54" w:rsidRDefault="00691D5E" w:rsidP="006E21B3">
      <w:pPr>
        <w:rPr>
          <w:rFonts w:ascii="Arial" w:hAnsi="Arial" w:cs="Arial"/>
        </w:rPr>
      </w:pPr>
      <w:r w:rsidRPr="00746F54">
        <w:rPr>
          <w:rFonts w:ascii="Arial" w:hAnsi="Arial" w:cs="Arial"/>
        </w:rPr>
        <w:t xml:space="preserve">Immediately in advance of the day-ahead market, at approximately 10 a.m., the market operator will manually execute the binding run of the day-ahead resource sufficiency evaluation.  This binding run will evaluate the RSE-eligible supply options against the demand obligations established for each balancing area to determine whether each balancing area has shown sufficient supply to satisfy its forecasted demand obligations in both the upward and downward directions, forecasted imbalance reserve requirements, and forecasted ancillary service obligations. Failure to satisfy the obligations of the binding run of the day-ahead resource sufficiency evaluation may cause a balancing authority to incur financial surcharges.  </w:t>
      </w:r>
    </w:p>
    <w:p w14:paraId="4B6420BE" w14:textId="65530081" w:rsidR="00691D5E" w:rsidRPr="00746F54" w:rsidRDefault="006E21B3" w:rsidP="00691D5E">
      <w:pPr>
        <w:pStyle w:val="Heading4"/>
        <w:rPr>
          <w:rFonts w:ascii="Arial" w:hAnsi="Arial" w:cs="Arial"/>
        </w:rPr>
      </w:pPr>
      <w:r w:rsidRPr="00746F54">
        <w:rPr>
          <w:rFonts w:ascii="Arial" w:hAnsi="Arial" w:cs="Arial"/>
        </w:rPr>
        <w:t>Inclusion in the EDAM Pool</w:t>
      </w:r>
    </w:p>
    <w:p w14:paraId="5B48F51C" w14:textId="77777777" w:rsidR="00691D5E" w:rsidRPr="00746F54" w:rsidRDefault="00691D5E" w:rsidP="006E21B3">
      <w:pPr>
        <w:rPr>
          <w:rFonts w:ascii="Arial" w:hAnsi="Arial" w:cs="Arial"/>
        </w:rPr>
      </w:pPr>
      <w:r w:rsidRPr="00746F54">
        <w:rPr>
          <w:rFonts w:ascii="Arial" w:hAnsi="Arial" w:cs="Arial"/>
        </w:rPr>
        <w:t xml:space="preserve">Balancing areas that satisfy the upward requirements of the binding day-ahead sufficiency evaluation in each hour will be placed in the EDAM Upward Pool for purposes of evaluation in the WEIM RSE.  </w:t>
      </w:r>
    </w:p>
    <w:p w14:paraId="18F01614" w14:textId="7CB87B40" w:rsidR="00691D5E" w:rsidRPr="00746F54" w:rsidRDefault="00691D5E" w:rsidP="006E21B3">
      <w:pPr>
        <w:rPr>
          <w:rFonts w:ascii="Arial" w:hAnsi="Arial" w:cs="Arial"/>
        </w:rPr>
      </w:pPr>
      <w:r w:rsidRPr="00746F54">
        <w:rPr>
          <w:rFonts w:ascii="Arial" w:hAnsi="Arial" w:cs="Arial"/>
        </w:rPr>
        <w:t xml:space="preserve">Balancing areas that fail to satisfy the upward requirements of the binding day-ahead sufficiency evaluation in each hour, but who incur the applicable surcharge and satisfy their obligations through the </w:t>
      </w:r>
      <w:r w:rsidR="000D11B2" w:rsidRPr="00746F54">
        <w:rPr>
          <w:rFonts w:ascii="Arial" w:hAnsi="Arial" w:cs="Arial"/>
        </w:rPr>
        <w:t>IFM</w:t>
      </w:r>
      <w:r w:rsidRPr="00746F54">
        <w:rPr>
          <w:rFonts w:ascii="Arial" w:hAnsi="Arial" w:cs="Arial"/>
        </w:rPr>
        <w:t>, will be placed in the EDAM Upward Pool for purposes of evaluation in the WEIM RSE.</w:t>
      </w:r>
    </w:p>
    <w:p w14:paraId="4D8BCE1D" w14:textId="77777777" w:rsidR="00691D5E" w:rsidRPr="00746F54" w:rsidRDefault="00691D5E" w:rsidP="006E21B3">
      <w:pPr>
        <w:rPr>
          <w:rFonts w:ascii="Arial" w:hAnsi="Arial" w:cs="Arial"/>
        </w:rPr>
      </w:pPr>
      <w:r w:rsidRPr="00746F54">
        <w:rPr>
          <w:rFonts w:ascii="Arial" w:hAnsi="Arial" w:cs="Arial"/>
        </w:rPr>
        <w:t xml:space="preserve">Balancing areas that satisfy the downward requirements of the binding day-ahead sufficiency evaluation in each hour will be placed in the EDAM Downward Pool for purposes of evaluation in the WEIM RSE.  </w:t>
      </w:r>
    </w:p>
    <w:p w14:paraId="076F0801" w14:textId="4C5D33DF" w:rsidR="00691D5E" w:rsidRPr="00746F54" w:rsidRDefault="00691D5E" w:rsidP="006E21B3">
      <w:pPr>
        <w:rPr>
          <w:rFonts w:ascii="Arial" w:hAnsi="Arial" w:cs="Arial"/>
        </w:rPr>
      </w:pPr>
      <w:r w:rsidRPr="00746F54">
        <w:rPr>
          <w:rFonts w:ascii="Arial" w:hAnsi="Arial" w:cs="Arial"/>
        </w:rPr>
        <w:lastRenderedPageBreak/>
        <w:t xml:space="preserve">Balancing areas that fail to satisfy the downward requirements of the binding day-ahead sufficiency evaluation in each hour, but who incur the applicable surcharge and satisfy their obligations through the </w:t>
      </w:r>
      <w:r w:rsidR="000D11B2" w:rsidRPr="00746F54">
        <w:rPr>
          <w:rFonts w:ascii="Arial" w:hAnsi="Arial" w:cs="Arial"/>
        </w:rPr>
        <w:t>IFM</w:t>
      </w:r>
      <w:r w:rsidRPr="00746F54">
        <w:rPr>
          <w:rFonts w:ascii="Arial" w:hAnsi="Arial" w:cs="Arial"/>
        </w:rPr>
        <w:t>, will be placed in the EDAM Downward Pool for purposes of evaluation in the WEIM RSE.</w:t>
      </w:r>
    </w:p>
    <w:p w14:paraId="4992BD31" w14:textId="77777777" w:rsidR="00691D5E" w:rsidRPr="00746F54" w:rsidRDefault="00691D5E" w:rsidP="006E21B3">
      <w:pPr>
        <w:rPr>
          <w:rFonts w:ascii="Arial" w:hAnsi="Arial" w:cs="Arial"/>
        </w:rPr>
      </w:pPr>
      <w:r w:rsidRPr="00746F54">
        <w:rPr>
          <w:rFonts w:ascii="Arial" w:hAnsi="Arial" w:cs="Arial"/>
        </w:rPr>
        <w:t xml:space="preserve">The WEIM RSE’s evaluation of the pools of EDAM Entities, including the entities that </w:t>
      </w:r>
      <w:proofErr w:type="gramStart"/>
      <w:r w:rsidRPr="00746F54">
        <w:rPr>
          <w:rFonts w:ascii="Arial" w:hAnsi="Arial" w:cs="Arial"/>
        </w:rPr>
        <w:t>opt-in</w:t>
      </w:r>
      <w:proofErr w:type="gramEnd"/>
      <w:r w:rsidRPr="00746F54">
        <w:rPr>
          <w:rFonts w:ascii="Arial" w:hAnsi="Arial" w:cs="Arial"/>
        </w:rPr>
        <w:t xml:space="preserve"> to receive assistance energy transfers through the WEIM, is addressed in the Business Practice Manual for the Energy Imbalance Market.  </w:t>
      </w:r>
    </w:p>
    <w:p w14:paraId="1D70EECC" w14:textId="718F403E" w:rsidR="00691D5E" w:rsidRPr="00746F54" w:rsidRDefault="00691D5E" w:rsidP="00691D5E">
      <w:pPr>
        <w:pStyle w:val="Heading4"/>
        <w:rPr>
          <w:rFonts w:ascii="Arial" w:hAnsi="Arial" w:cs="Arial"/>
        </w:rPr>
      </w:pPr>
      <w:r w:rsidRPr="00746F54">
        <w:rPr>
          <w:rFonts w:ascii="Arial" w:hAnsi="Arial" w:cs="Arial"/>
        </w:rPr>
        <w:t>Tagging</w:t>
      </w:r>
      <w:r w:rsidR="006E21B3" w:rsidRPr="00746F54">
        <w:rPr>
          <w:rFonts w:ascii="Arial" w:hAnsi="Arial" w:cs="Arial"/>
        </w:rPr>
        <w:t xml:space="preserve"> Requirements</w:t>
      </w:r>
      <w:r w:rsidRPr="00746F54">
        <w:rPr>
          <w:rFonts w:ascii="Arial" w:hAnsi="Arial" w:cs="Arial"/>
        </w:rPr>
        <w:t xml:space="preserve"> to Remain in EDAM Pool</w:t>
      </w:r>
    </w:p>
    <w:p w14:paraId="1085D477" w14:textId="77777777" w:rsidR="00691D5E" w:rsidRPr="00746F54" w:rsidRDefault="00691D5E" w:rsidP="003109F1">
      <w:pPr>
        <w:rPr>
          <w:rFonts w:ascii="Arial" w:hAnsi="Arial" w:cs="Arial"/>
        </w:rPr>
      </w:pPr>
      <w:r w:rsidRPr="00746F54">
        <w:rPr>
          <w:rFonts w:ascii="Arial" w:hAnsi="Arial" w:cs="Arial"/>
        </w:rPr>
        <w:t xml:space="preserve">Balancing authorities in the EDAM area must comply with the e-tagging protocols in Section 33.30.8.3 of the CAISO tariff and Section 8 of the Market Operations BPM.  To remain in the applicable EDAM pools, each balancing authority in the EDAM area, or its applicable scheduling coordinator, must submit E-Tags prior to the deadline of five hours before the start of the operating hour.  </w:t>
      </w:r>
    </w:p>
    <w:p w14:paraId="7934903A" w14:textId="77777777" w:rsidR="00691D5E" w:rsidRPr="00746F54" w:rsidRDefault="00691D5E" w:rsidP="003109F1">
      <w:pPr>
        <w:rPr>
          <w:rFonts w:ascii="Arial" w:hAnsi="Arial" w:cs="Arial"/>
        </w:rPr>
      </w:pPr>
      <w:r w:rsidRPr="00746F54">
        <w:rPr>
          <w:rFonts w:ascii="Arial" w:hAnsi="Arial" w:cs="Arial"/>
        </w:rPr>
        <w:t xml:space="preserve">The market operator will not remove from the EDAM pools balancing areas with tagging deficiency where that deficiency is fulfilled through re-supply.  The Market operator will consider as re-supply the additional incremental energy bids from resources internal to the applicable EDAM balancing area above the resource’s day-ahead schedule and not encumbered by day-ahead capacity awards.  </w:t>
      </w:r>
    </w:p>
    <w:p w14:paraId="708DE758" w14:textId="77777777" w:rsidR="00691D5E" w:rsidRPr="00746F54" w:rsidRDefault="00691D5E" w:rsidP="003109F1">
      <w:pPr>
        <w:rPr>
          <w:rFonts w:ascii="Arial" w:hAnsi="Arial" w:cs="Arial"/>
        </w:rPr>
      </w:pPr>
      <w:r w:rsidRPr="00746F54">
        <w:rPr>
          <w:rFonts w:ascii="Arial" w:hAnsi="Arial" w:cs="Arial"/>
        </w:rPr>
        <w:t xml:space="preserve">The market operator will remove a balancing authority from the applicable EDAM pool for the deficient trading hour(s) where such balancing authority has failed to tag sufficient RSE-eligible supply and failed to provide re-supply sufficient to cover the tagging deficiency.  </w:t>
      </w:r>
    </w:p>
    <w:p w14:paraId="0EF118ED" w14:textId="77777777" w:rsidR="00691D5E" w:rsidRPr="00746F54" w:rsidRDefault="00691D5E" w:rsidP="003109F1">
      <w:pPr>
        <w:rPr>
          <w:rFonts w:ascii="Arial" w:hAnsi="Arial" w:cs="Arial"/>
        </w:rPr>
      </w:pPr>
      <w:r w:rsidRPr="00746F54">
        <w:rPr>
          <w:rFonts w:ascii="Arial" w:hAnsi="Arial" w:cs="Arial"/>
        </w:rPr>
        <w:t xml:space="preserve">EDAM entities may utilize their interchange tracking systems to determine the specific RSE eligible supply not fully tagging prior to T-5h.  The SIBR system will display results of the T-5H evaluation including a MW-level summation of RSE Capacity fully tagged for each trade hour.  The EDAM participant may also utilize results of the advisory T-75 execution in BAAOP and </w:t>
      </w:r>
      <w:proofErr w:type="gramStart"/>
      <w:r w:rsidRPr="00746F54">
        <w:rPr>
          <w:rFonts w:ascii="Arial" w:hAnsi="Arial" w:cs="Arial"/>
        </w:rPr>
        <w:t>take action</w:t>
      </w:r>
      <w:proofErr w:type="gramEnd"/>
      <w:r w:rsidRPr="00746F54">
        <w:rPr>
          <w:rFonts w:ascii="Arial" w:hAnsi="Arial" w:cs="Arial"/>
        </w:rPr>
        <w:t xml:space="preserve"> to before the next advisory RSE at T-55 and the binding RSE at T-40.  </w:t>
      </w:r>
    </w:p>
    <w:p w14:paraId="1027C491" w14:textId="3E2FF42D" w:rsidR="00392CCF" w:rsidRPr="00746F54" w:rsidRDefault="00392CCF" w:rsidP="00392CCF">
      <w:pPr>
        <w:pStyle w:val="Heading3"/>
        <w:rPr>
          <w:rFonts w:ascii="Arial" w:hAnsi="Arial" w:cs="Arial"/>
        </w:rPr>
      </w:pPr>
      <w:bookmarkStart w:id="205" w:name="_Toc211337956"/>
      <w:r w:rsidRPr="00746F54">
        <w:rPr>
          <w:rFonts w:ascii="Arial" w:hAnsi="Arial" w:cs="Arial"/>
        </w:rPr>
        <w:t>Surcharges Upon Failure of the EDAM RSE</w:t>
      </w:r>
      <w:bookmarkEnd w:id="205"/>
    </w:p>
    <w:p w14:paraId="52418631" w14:textId="200720F3" w:rsidR="00392CCF" w:rsidRPr="00746F54" w:rsidRDefault="00392CCF" w:rsidP="00392CCF">
      <w:pPr>
        <w:pStyle w:val="ParaText"/>
        <w:rPr>
          <w:rFonts w:ascii="Arial" w:hAnsi="Arial" w:cs="Arial"/>
        </w:rPr>
      </w:pPr>
      <w:r w:rsidRPr="00746F54">
        <w:rPr>
          <w:rFonts w:ascii="Arial" w:hAnsi="Arial" w:cs="Arial"/>
        </w:rPr>
        <w:t>Reference tariff section</w:t>
      </w:r>
      <w:r w:rsidR="005A3118" w:rsidRPr="00746F54">
        <w:rPr>
          <w:rFonts w:ascii="Arial" w:hAnsi="Arial" w:cs="Arial"/>
        </w:rPr>
        <w:t>s 33.11.2 and</w:t>
      </w:r>
      <w:r w:rsidRPr="00746F54">
        <w:rPr>
          <w:rFonts w:ascii="Arial" w:hAnsi="Arial" w:cs="Arial"/>
        </w:rPr>
        <w:t xml:space="preserve"> 33.31.1.5</w:t>
      </w:r>
    </w:p>
    <w:p w14:paraId="038A9D17" w14:textId="5A982A03" w:rsidR="00392CCF" w:rsidRPr="00746F54" w:rsidRDefault="00436AFE" w:rsidP="00392CCF">
      <w:pPr>
        <w:pStyle w:val="ParaText"/>
        <w:rPr>
          <w:rFonts w:ascii="Arial" w:hAnsi="Arial" w:cs="Arial"/>
        </w:rPr>
      </w:pPr>
      <w:r w:rsidRPr="00746F54">
        <w:rPr>
          <w:rFonts w:ascii="Arial" w:hAnsi="Arial" w:cs="Arial"/>
        </w:rPr>
        <w:t>An EDAM balancing authority area that fails the EDAM RSE in any hour of the day across the 24-hour horizon, in upward or downward direction, may be subject to</w:t>
      </w:r>
      <w:r w:rsidR="002314BE" w:rsidRPr="00746F54">
        <w:rPr>
          <w:rFonts w:ascii="Arial" w:hAnsi="Arial" w:cs="Arial"/>
        </w:rPr>
        <w:t xml:space="preserve"> on-peak or off-peak</w:t>
      </w:r>
      <w:r w:rsidRPr="00746F54">
        <w:rPr>
          <w:rFonts w:ascii="Arial" w:hAnsi="Arial" w:cs="Arial"/>
        </w:rPr>
        <w:t xml:space="preserve"> failure surcharges.</w:t>
      </w:r>
    </w:p>
    <w:p w14:paraId="64628DF8" w14:textId="408E3B3A" w:rsidR="00436AFE" w:rsidRPr="00746F54" w:rsidRDefault="00436AFE" w:rsidP="00392CCF">
      <w:pPr>
        <w:pStyle w:val="ParaText"/>
        <w:rPr>
          <w:rFonts w:ascii="Arial" w:hAnsi="Arial" w:cs="Arial"/>
        </w:rPr>
      </w:pPr>
      <w:r w:rsidRPr="00746F54">
        <w:rPr>
          <w:rFonts w:ascii="Arial" w:hAnsi="Arial" w:cs="Arial"/>
        </w:rPr>
        <w:t xml:space="preserve">The EDAM RSE </w:t>
      </w:r>
      <w:r w:rsidR="000D11B2" w:rsidRPr="00746F54">
        <w:rPr>
          <w:rFonts w:ascii="Arial" w:hAnsi="Arial" w:cs="Arial"/>
        </w:rPr>
        <w:t>Upward</w:t>
      </w:r>
      <w:r w:rsidRPr="00746F54">
        <w:rPr>
          <w:rFonts w:ascii="Arial" w:hAnsi="Arial" w:cs="Arial"/>
        </w:rPr>
        <w:t xml:space="preserve"> failure surcharges are established across three tier structure:</w:t>
      </w:r>
    </w:p>
    <w:p w14:paraId="1EE2C1EA" w14:textId="4D3A38C7" w:rsidR="00436AFE" w:rsidRPr="00746F54" w:rsidRDefault="00436AFE" w:rsidP="00436AFE">
      <w:pPr>
        <w:pStyle w:val="ParaText"/>
        <w:numPr>
          <w:ilvl w:val="0"/>
          <w:numId w:val="136"/>
        </w:numPr>
        <w:rPr>
          <w:rFonts w:ascii="Arial" w:hAnsi="Arial" w:cs="Arial"/>
        </w:rPr>
      </w:pPr>
      <w:r w:rsidRPr="00746F54">
        <w:rPr>
          <w:rFonts w:ascii="Arial" w:hAnsi="Arial" w:cs="Arial"/>
        </w:rPr>
        <w:t xml:space="preserve">Tier 1: The failure of the RSE by the EDAM balancing authority area is </w:t>
      </w:r>
      <w:r w:rsidRPr="00746F54">
        <w:rPr>
          <w:rFonts w:ascii="Arial" w:hAnsi="Arial" w:cs="Arial"/>
          <w:i/>
          <w:iCs/>
        </w:rPr>
        <w:t>de minimis</w:t>
      </w:r>
      <w:r w:rsidRPr="00746F54">
        <w:rPr>
          <w:rFonts w:ascii="Arial" w:hAnsi="Arial" w:cs="Arial"/>
        </w:rPr>
        <w:t xml:space="preserve"> defined as the higher of 10 MW or an amount that is less than or equal to one percent of the balancing authority area’s upward imbalance reserve requirement for the hour.</w:t>
      </w:r>
    </w:p>
    <w:p w14:paraId="47E56D6A" w14:textId="0C7B277E" w:rsidR="00436AFE" w:rsidRPr="00746F54" w:rsidRDefault="00436AFE" w:rsidP="00436AFE">
      <w:pPr>
        <w:pStyle w:val="ParaText"/>
        <w:numPr>
          <w:ilvl w:val="0"/>
          <w:numId w:val="136"/>
        </w:numPr>
        <w:rPr>
          <w:rFonts w:ascii="Arial" w:hAnsi="Arial" w:cs="Arial"/>
        </w:rPr>
      </w:pPr>
      <w:r w:rsidRPr="00746F54">
        <w:rPr>
          <w:rFonts w:ascii="Arial" w:hAnsi="Arial" w:cs="Arial"/>
        </w:rPr>
        <w:lastRenderedPageBreak/>
        <w:t xml:space="preserve">Tier 2: The failure of the RSE by the EDAM balancing authority area is above the </w:t>
      </w:r>
      <w:r w:rsidRPr="00746F54">
        <w:rPr>
          <w:rFonts w:ascii="Arial" w:hAnsi="Arial" w:cs="Arial"/>
          <w:i/>
          <w:iCs/>
        </w:rPr>
        <w:t>de minimis</w:t>
      </w:r>
      <w:r w:rsidRPr="00746F54">
        <w:rPr>
          <w:rFonts w:ascii="Arial" w:hAnsi="Arial" w:cs="Arial"/>
        </w:rPr>
        <w:t xml:space="preserve"> failure amount and is less than or equal to fifty percent of the balancing authority area’s upward Imbalance Reserve requirement.</w:t>
      </w:r>
    </w:p>
    <w:p w14:paraId="2D622A3A" w14:textId="2C5C0637" w:rsidR="00436AFE" w:rsidRPr="00746F54" w:rsidRDefault="00436AFE" w:rsidP="00636D40">
      <w:pPr>
        <w:pStyle w:val="ParaText"/>
        <w:numPr>
          <w:ilvl w:val="0"/>
          <w:numId w:val="136"/>
        </w:numPr>
        <w:rPr>
          <w:rFonts w:ascii="Arial" w:hAnsi="Arial" w:cs="Arial"/>
        </w:rPr>
      </w:pPr>
      <w:r w:rsidRPr="00746F54">
        <w:rPr>
          <w:rFonts w:ascii="Arial" w:hAnsi="Arial" w:cs="Arial"/>
        </w:rPr>
        <w:t xml:space="preserve">Tier 3: </w:t>
      </w:r>
      <w:r w:rsidR="002314BE" w:rsidRPr="00746F54">
        <w:rPr>
          <w:rFonts w:ascii="Arial" w:hAnsi="Arial" w:cs="Arial"/>
        </w:rPr>
        <w:t>The failure of the RSE by the EDAM balancing authority area is greater than fifty percent of the balancing authority area’s upward Imbalance Reserve requirement.</w:t>
      </w:r>
    </w:p>
    <w:p w14:paraId="43E197DF" w14:textId="13DD5BED" w:rsidR="00392CCF" w:rsidRPr="00746F54" w:rsidRDefault="000D11B2" w:rsidP="00392CCF">
      <w:pPr>
        <w:pStyle w:val="ParaText"/>
        <w:rPr>
          <w:rFonts w:ascii="Arial" w:hAnsi="Arial" w:cs="Arial"/>
        </w:rPr>
      </w:pPr>
      <w:r w:rsidRPr="00746F54">
        <w:rPr>
          <w:rFonts w:ascii="Arial" w:hAnsi="Arial" w:cs="Arial"/>
        </w:rPr>
        <w:t xml:space="preserve">The EDAM RSE Downward failure surcharge is not tiered.  </w:t>
      </w:r>
      <w:r w:rsidR="002314BE" w:rsidRPr="00746F54">
        <w:rPr>
          <w:rFonts w:ascii="Arial" w:hAnsi="Arial" w:cs="Arial"/>
        </w:rPr>
        <w:t xml:space="preserve">For further information on the on-peak and off-peak, upward and downward, RSE failure surcharges, please refer to the </w:t>
      </w:r>
      <w:r w:rsidR="002314BE" w:rsidRPr="00746F54">
        <w:rPr>
          <w:rFonts w:ascii="Arial" w:hAnsi="Arial" w:cs="Arial"/>
          <w:i/>
          <w:iCs/>
        </w:rPr>
        <w:t xml:space="preserve">Settlements and Billing </w:t>
      </w:r>
      <w:r w:rsidR="002314BE" w:rsidRPr="00746F54">
        <w:rPr>
          <w:rFonts w:ascii="Arial" w:hAnsi="Arial" w:cs="Arial"/>
        </w:rPr>
        <w:t xml:space="preserve">Business Practice Manual.  </w:t>
      </w:r>
    </w:p>
    <w:p w14:paraId="47C8D592" w14:textId="7657E24B" w:rsidR="00691D5E" w:rsidRPr="00746F54" w:rsidRDefault="00691D5E" w:rsidP="003109F1">
      <w:pPr>
        <w:rPr>
          <w:rFonts w:ascii="Arial" w:hAnsi="Arial" w:cs="Arial"/>
        </w:rPr>
      </w:pPr>
      <w:r w:rsidRPr="00746F54">
        <w:rPr>
          <w:rFonts w:ascii="Arial" w:hAnsi="Arial" w:cs="Arial"/>
        </w:rPr>
        <w:t xml:space="preserve">The market </w:t>
      </w:r>
      <w:r w:rsidRPr="00746F54" w:rsidDel="00B63999">
        <w:rPr>
          <w:rFonts w:ascii="Arial" w:hAnsi="Arial" w:cs="Arial"/>
        </w:rPr>
        <w:t>operator</w:t>
      </w:r>
      <w:r w:rsidRPr="00746F54">
        <w:rPr>
          <w:rFonts w:ascii="Arial" w:hAnsi="Arial" w:cs="Arial"/>
        </w:rPr>
        <w:t xml:space="preserve"> will distribute EDAM RSE Failure Surcharges and the associated revenue</w:t>
      </w:r>
      <w:r w:rsidR="002314BE" w:rsidRPr="00746F54">
        <w:rPr>
          <w:rFonts w:ascii="Arial" w:hAnsi="Arial" w:cs="Arial"/>
        </w:rPr>
        <w:t xml:space="preserve"> among EDAM balancing authority areas in accordance with tariff section 33.11.2 and as further described in the </w:t>
      </w:r>
      <w:r w:rsidR="002314BE" w:rsidRPr="00746F54">
        <w:rPr>
          <w:rFonts w:ascii="Arial" w:hAnsi="Arial" w:cs="Arial"/>
          <w:i/>
          <w:iCs/>
        </w:rPr>
        <w:t xml:space="preserve">Settlements and Billing </w:t>
      </w:r>
      <w:r w:rsidR="002314BE" w:rsidRPr="00746F54">
        <w:rPr>
          <w:rFonts w:ascii="Arial" w:hAnsi="Arial" w:cs="Arial"/>
        </w:rPr>
        <w:t>Business Practice Manual.</w:t>
      </w:r>
    </w:p>
    <w:p w14:paraId="13863FBC" w14:textId="7E327FCA" w:rsidR="00BA239B" w:rsidRPr="00746F54" w:rsidRDefault="00BA239B" w:rsidP="00BA239B">
      <w:pPr>
        <w:pStyle w:val="Heading1"/>
        <w:rPr>
          <w:rFonts w:ascii="Arial" w:hAnsi="Arial" w:cs="Arial"/>
        </w:rPr>
      </w:pPr>
      <w:bookmarkStart w:id="206" w:name="_Toc211337958"/>
      <w:bookmarkStart w:id="207" w:name="_Toc228963731"/>
      <w:r w:rsidRPr="00746F54">
        <w:rPr>
          <w:rFonts w:ascii="Arial" w:hAnsi="Arial" w:cs="Arial"/>
        </w:rPr>
        <w:t>Operation of the Day-Ahead Market in the EDAM Area</w:t>
      </w:r>
      <w:bookmarkEnd w:id="206"/>
      <w:bookmarkEnd w:id="207"/>
    </w:p>
    <w:p w14:paraId="2047DDD3" w14:textId="4BB53F98" w:rsidR="00BA239B" w:rsidRPr="00746F54" w:rsidRDefault="00BA239B" w:rsidP="00BA239B">
      <w:pPr>
        <w:pStyle w:val="ParaText"/>
        <w:rPr>
          <w:rFonts w:ascii="Arial" w:hAnsi="Arial" w:cs="Arial"/>
          <w:u w:val="single"/>
        </w:rPr>
      </w:pPr>
      <w:r w:rsidRPr="00746F54">
        <w:rPr>
          <w:rFonts w:ascii="Arial" w:hAnsi="Arial" w:cs="Arial"/>
          <w:u w:val="single"/>
        </w:rPr>
        <w:t>Reference tariff section 33.31.2</w:t>
      </w:r>
    </w:p>
    <w:p w14:paraId="7B44DAF8" w14:textId="119EA4EF" w:rsidR="00BA239B" w:rsidRPr="00746F54" w:rsidRDefault="00BA239B" w:rsidP="00BA239B">
      <w:pPr>
        <w:pStyle w:val="Heading2"/>
        <w:rPr>
          <w:rFonts w:ascii="Arial" w:hAnsi="Arial" w:cs="Arial"/>
        </w:rPr>
      </w:pPr>
      <w:bookmarkStart w:id="208" w:name="_Toc211337959"/>
      <w:bookmarkStart w:id="209" w:name="_Toc228963732"/>
      <w:r w:rsidRPr="00746F54">
        <w:rPr>
          <w:rFonts w:ascii="Arial" w:hAnsi="Arial" w:cs="Arial"/>
        </w:rPr>
        <w:t>Integrated Forward Market (IFM) Market Power Mitigation (MPM) in the EDAM Area</w:t>
      </w:r>
      <w:bookmarkEnd w:id="208"/>
      <w:bookmarkEnd w:id="209"/>
    </w:p>
    <w:p w14:paraId="403D1754" w14:textId="7189E561" w:rsidR="00B324A3" w:rsidRPr="00746F54" w:rsidRDefault="00BA239B" w:rsidP="00BA239B">
      <w:pPr>
        <w:pStyle w:val="ParaText"/>
        <w:rPr>
          <w:rFonts w:ascii="Arial" w:hAnsi="Arial" w:cs="Arial"/>
          <w:u w:val="single"/>
        </w:rPr>
      </w:pPr>
      <w:r w:rsidRPr="00746F54">
        <w:rPr>
          <w:rFonts w:ascii="Arial" w:hAnsi="Arial" w:cs="Arial"/>
          <w:u w:val="single"/>
        </w:rPr>
        <w:t>Reference tariff section</w:t>
      </w:r>
      <w:r w:rsidR="00686321" w:rsidRPr="00746F54">
        <w:rPr>
          <w:rFonts w:ascii="Arial" w:hAnsi="Arial" w:cs="Arial"/>
          <w:u w:val="single"/>
        </w:rPr>
        <w:t>s</w:t>
      </w:r>
      <w:r w:rsidRPr="00746F54">
        <w:rPr>
          <w:rFonts w:ascii="Arial" w:hAnsi="Arial" w:cs="Arial"/>
          <w:u w:val="single"/>
        </w:rPr>
        <w:t xml:space="preserve"> 33.31.2.1</w:t>
      </w:r>
      <w:r w:rsidR="00686321" w:rsidRPr="00746F54">
        <w:rPr>
          <w:rFonts w:ascii="Arial" w:hAnsi="Arial" w:cs="Arial"/>
          <w:u w:val="single"/>
        </w:rPr>
        <w:t>, 33.39</w:t>
      </w:r>
    </w:p>
    <w:p w14:paraId="35A83026" w14:textId="0808CA4D" w:rsidR="00BA239B" w:rsidRPr="00746F54" w:rsidRDefault="00BA239B" w:rsidP="00BA239B">
      <w:pPr>
        <w:pStyle w:val="ParaText"/>
        <w:rPr>
          <w:rFonts w:ascii="Arial" w:hAnsi="Arial" w:cs="Arial"/>
        </w:rPr>
      </w:pPr>
      <w:r w:rsidRPr="00746F54">
        <w:rPr>
          <w:rFonts w:ascii="Arial" w:hAnsi="Arial" w:cs="Arial"/>
        </w:rPr>
        <w:t xml:space="preserve">Market power mitigation processes apply in the day-ahead market for each EDAM balancing authority area.  Market power mitigation processes will apply in both IFM and RUC.  In the day-ahead market, the market power mitigation process uses a competitive path assessment for binding </w:t>
      </w:r>
      <w:r w:rsidR="004E1625" w:rsidRPr="00746F54">
        <w:rPr>
          <w:rFonts w:ascii="Arial" w:hAnsi="Arial" w:cs="Arial"/>
        </w:rPr>
        <w:t>transmission</w:t>
      </w:r>
      <w:r w:rsidRPr="00746F54">
        <w:rPr>
          <w:rFonts w:ascii="Arial" w:hAnsi="Arial" w:cs="Arial"/>
        </w:rPr>
        <w:t xml:space="preserve"> constraints to determine whether a path is competitive or non-competitive. If a path is non-competitive, market power mitigation procedures will apply within an EDAM balancing authority area to determine any non-competitive contribution of those binding transmission constraints to locational marginal prices for energy and reliability capacity up prices.  Bids from resources within that EDAM balancing authority area will be subject to applicable mitigation procedures if the net contribution from non-competitive binding transmission constraints for these prices is positive.</w:t>
      </w:r>
    </w:p>
    <w:p w14:paraId="104BED43" w14:textId="1B17501A" w:rsidR="00BA239B" w:rsidRPr="00746F54" w:rsidRDefault="00BA239B" w:rsidP="00BA239B">
      <w:pPr>
        <w:pStyle w:val="ParaText"/>
        <w:rPr>
          <w:rFonts w:ascii="Arial" w:hAnsi="Arial" w:cs="Arial"/>
        </w:rPr>
      </w:pPr>
      <w:r w:rsidRPr="00746F54">
        <w:rPr>
          <w:rFonts w:ascii="Arial" w:hAnsi="Arial" w:cs="Arial"/>
        </w:rPr>
        <w:t xml:space="preserve">For the purposes of market power mitigation for EDAM balancing authority areas, the marginal energy price in the CAISO BAA reflects a competitive component of LMP.  The market power mitigation process applies a competitive path assessment when an EDAM balancing authority area’s marginal energy cost is greater than the CAISO’s marginal energy cost. If the assessment identifies non-competitive conditions, the market power mitigation process treats </w:t>
      </w:r>
      <w:r w:rsidRPr="00746F54">
        <w:rPr>
          <w:rFonts w:ascii="Arial" w:hAnsi="Arial" w:cs="Arial"/>
        </w:rPr>
        <w:lastRenderedPageBreak/>
        <w:t xml:space="preserve">the marginal energy cost differential </w:t>
      </w:r>
      <w:proofErr w:type="gramStart"/>
      <w:r w:rsidRPr="00746F54">
        <w:rPr>
          <w:rFonts w:ascii="Arial" w:hAnsi="Arial" w:cs="Arial"/>
        </w:rPr>
        <w:t>similar to</w:t>
      </w:r>
      <w:proofErr w:type="gramEnd"/>
      <w:r w:rsidRPr="00746F54">
        <w:rPr>
          <w:rFonts w:ascii="Arial" w:hAnsi="Arial" w:cs="Arial"/>
        </w:rPr>
        <w:t xml:space="preserve"> the non-competitive component of the marginal cost of congestion in the CAISO’s local market power mitigation process described in the BPM for Market Operations to determine which resources have market power. If the assessment identifies noncompetitive conditions within an EDAM balancing authority area, all bids in that EDAM balancing authority area are subject to market power mitigation procedures.  </w:t>
      </w:r>
      <w:bookmarkStart w:id="210" w:name="_Hlk204863211"/>
    </w:p>
    <w:bookmarkEnd w:id="210"/>
    <w:p w14:paraId="7E91876A" w14:textId="0C674192" w:rsidR="00BA239B" w:rsidRPr="00746F54" w:rsidRDefault="00BA239B" w:rsidP="00BA239B">
      <w:pPr>
        <w:pStyle w:val="ParaText"/>
        <w:rPr>
          <w:rFonts w:ascii="Arial" w:hAnsi="Arial" w:cs="Arial"/>
        </w:rPr>
      </w:pPr>
      <w:r w:rsidRPr="00746F54">
        <w:rPr>
          <w:rFonts w:ascii="Arial" w:hAnsi="Arial" w:cs="Arial"/>
        </w:rPr>
        <w:t xml:space="preserve">For purposes of market power mitigation for EDAM balancing authority areas, the marginal reliability capacity cost in the CAISO BAA will reflect a competitive RUC price. The market power mitigation process applies a competitive path assessment when an EDAM balancing authority area’s marginal reliability capacity cost is greater than CAISO balancing authority area’s marginal reliability capacity cost. If the assessment identifies non-competitive conditions, the RUC MPM process treats the differential between the marginal reliability capacity cost in the CAISO balancing authority area and the marginal reliability capacity cost in the EDAM balancing authority area </w:t>
      </w:r>
      <w:proofErr w:type="gramStart"/>
      <w:r w:rsidRPr="00746F54">
        <w:rPr>
          <w:rFonts w:ascii="Arial" w:hAnsi="Arial" w:cs="Arial"/>
        </w:rPr>
        <w:t>similar to</w:t>
      </w:r>
      <w:proofErr w:type="gramEnd"/>
      <w:r w:rsidRPr="00746F54">
        <w:rPr>
          <w:rFonts w:ascii="Arial" w:hAnsi="Arial" w:cs="Arial"/>
        </w:rPr>
        <w:t xml:space="preserve"> the non-competitive component of the marginal cost of congestion in CAISO’s local market power mitigation process.  If the assessment identifies noncompetitive conditions within an EDAM balancing authority area, all bids in that EDAM balancing authority area are subject to market power mitigation procedures. </w:t>
      </w:r>
    </w:p>
    <w:p w14:paraId="62F4EAB8" w14:textId="77777777" w:rsidR="00BA239B" w:rsidRPr="00746F54" w:rsidRDefault="00BA239B" w:rsidP="00636D40">
      <w:pPr>
        <w:pStyle w:val="Heading3"/>
        <w:rPr>
          <w:rFonts w:ascii="Arial" w:hAnsi="Arial" w:cs="Arial"/>
        </w:rPr>
      </w:pPr>
      <w:bookmarkStart w:id="211" w:name="_Toc209781167"/>
      <w:bookmarkStart w:id="212" w:name="_Toc209781168"/>
      <w:bookmarkStart w:id="213" w:name="_Toc211337960"/>
      <w:bookmarkEnd w:id="211"/>
      <w:bookmarkEnd w:id="212"/>
      <w:r w:rsidRPr="00746F54">
        <w:rPr>
          <w:rFonts w:ascii="Arial" w:hAnsi="Arial" w:cs="Arial"/>
        </w:rPr>
        <w:t>Dynamic Competitive Path Assessment (DCPA)</w:t>
      </w:r>
      <w:bookmarkEnd w:id="213"/>
    </w:p>
    <w:p w14:paraId="68DD8DB3" w14:textId="715E243D" w:rsidR="00BA239B" w:rsidRPr="00746F54" w:rsidRDefault="00BA239B" w:rsidP="00BA239B">
      <w:pPr>
        <w:pStyle w:val="ParaText"/>
        <w:rPr>
          <w:rFonts w:ascii="Arial" w:hAnsi="Arial" w:cs="Arial"/>
        </w:rPr>
      </w:pPr>
      <w:r w:rsidRPr="00746F54">
        <w:rPr>
          <w:rFonts w:ascii="Arial" w:hAnsi="Arial" w:cs="Arial"/>
        </w:rPr>
        <w:t>As part of each MPM run, an in-line DCPA determines whether a transmission constraint is competitive or non-competitive. A transmission constraint is competitive by default unless it is determined to be non-competitive as part of this calculation.</w:t>
      </w:r>
    </w:p>
    <w:p w14:paraId="16920BB5" w14:textId="77777777" w:rsidR="00BA239B" w:rsidRPr="00746F54" w:rsidRDefault="00BA239B" w:rsidP="00BA239B">
      <w:pPr>
        <w:pStyle w:val="ParaText"/>
        <w:rPr>
          <w:rFonts w:ascii="Arial" w:hAnsi="Arial" w:cs="Arial"/>
        </w:rPr>
      </w:pPr>
      <w:r w:rsidRPr="00746F54">
        <w:rPr>
          <w:rFonts w:ascii="Arial" w:hAnsi="Arial" w:cs="Arial"/>
        </w:rPr>
        <w:t>The DCPA tests if three or fewer generators can provide pivotal supply (counter-flow) to a binding transmission constraint. The binding constraint is considered non-competitive if supply counter-flow from the three largest pivotal suppliers is required to relieve it.</w:t>
      </w:r>
    </w:p>
    <w:p w14:paraId="7BD7E602" w14:textId="77777777" w:rsidR="00BA239B" w:rsidRPr="00746F54" w:rsidRDefault="00BA239B" w:rsidP="00BA239B">
      <w:pPr>
        <w:pStyle w:val="ParaText"/>
        <w:rPr>
          <w:rFonts w:ascii="Arial" w:hAnsi="Arial" w:cs="Arial"/>
        </w:rPr>
      </w:pPr>
      <w:r w:rsidRPr="00746F54">
        <w:rPr>
          <w:rFonts w:ascii="Arial" w:hAnsi="Arial" w:cs="Arial"/>
        </w:rPr>
        <w:t>If the DCPA is unable to function, the MPM will rely on a default competitive path list that is compiled based on historical analysis of congestion and previous DCPA results on each Transmission Constraint.</w:t>
      </w:r>
    </w:p>
    <w:p w14:paraId="249FD0F7" w14:textId="77777777" w:rsidR="00BA239B" w:rsidRPr="00746F54" w:rsidRDefault="00BA239B" w:rsidP="00BA239B">
      <w:pPr>
        <w:pStyle w:val="ParaText"/>
        <w:rPr>
          <w:rFonts w:ascii="Arial" w:hAnsi="Arial" w:cs="Arial"/>
        </w:rPr>
      </w:pPr>
      <w:bookmarkStart w:id="214" w:name="_Hlk209432145"/>
      <w:r w:rsidRPr="00746F54">
        <w:rPr>
          <w:rFonts w:ascii="Arial" w:hAnsi="Arial" w:cs="Arial"/>
        </w:rPr>
        <w:t>For a detailed description of the DCPA process and the methodology for compiling the default list, refer to the BPM for Market Operations, Attachment B: Competitive Path Assessment.</w:t>
      </w:r>
    </w:p>
    <w:bookmarkEnd w:id="214"/>
    <w:p w14:paraId="22205F7C" w14:textId="0320F658" w:rsidR="00BA239B" w:rsidRPr="00746F54" w:rsidRDefault="00BA239B" w:rsidP="00BA239B">
      <w:pPr>
        <w:pStyle w:val="ParaText"/>
        <w:rPr>
          <w:rFonts w:ascii="Arial" w:hAnsi="Arial" w:cs="Arial"/>
        </w:rPr>
      </w:pPr>
      <w:r w:rsidRPr="00746F54">
        <w:rPr>
          <w:rFonts w:ascii="Arial" w:hAnsi="Arial" w:cs="Arial"/>
        </w:rPr>
        <w:t xml:space="preserve">A DCPA evaluation for potential BAA-level mitigation is triggered when that BAA’s MEC (shadow price of its power balance constraint) exceeds the CAISO BAA MEC. This price separation indicates that the EDAM BAA is import constrained, meaning that binding transfer constraints are restricting economic EDAM transfers into that BAA. This condition triggers a DCPA test on that BAA’s power balance constraint to determine if the internal generation is competitive (treating the PBC as a binding constraint and applying the RSI test). If the BAA’s </w:t>
      </w:r>
      <w:r w:rsidRPr="00746F54">
        <w:rPr>
          <w:rFonts w:ascii="Arial" w:hAnsi="Arial" w:cs="Arial"/>
        </w:rPr>
        <w:lastRenderedPageBreak/>
        <w:t>power balance constraint is found to be uncompetitive, bids from all applicable supply resources within that BAA are subject to market power mitigation procedures.</w:t>
      </w:r>
    </w:p>
    <w:p w14:paraId="4EFBE406" w14:textId="77777777" w:rsidR="00BA239B" w:rsidRPr="00746F54" w:rsidRDefault="00BA239B" w:rsidP="00BA239B">
      <w:pPr>
        <w:pStyle w:val="Heading3"/>
        <w:rPr>
          <w:rFonts w:ascii="Arial" w:hAnsi="Arial" w:cs="Arial"/>
        </w:rPr>
      </w:pPr>
      <w:bookmarkStart w:id="215" w:name="_Toc211337961"/>
      <w:r w:rsidRPr="00746F54">
        <w:rPr>
          <w:rFonts w:ascii="Arial" w:hAnsi="Arial" w:cs="Arial"/>
        </w:rPr>
        <w:t>Locational Marginal Price (LMP) Decomposition</w:t>
      </w:r>
      <w:bookmarkEnd w:id="215"/>
    </w:p>
    <w:p w14:paraId="30679B10" w14:textId="060EFA82" w:rsidR="00BA239B" w:rsidRPr="00746F54" w:rsidRDefault="00BA239B" w:rsidP="00BA239B">
      <w:pPr>
        <w:pStyle w:val="ParaText"/>
        <w:rPr>
          <w:rFonts w:ascii="Arial" w:hAnsi="Arial" w:cs="Arial"/>
        </w:rPr>
      </w:pPr>
      <w:r w:rsidRPr="00746F54">
        <w:rPr>
          <w:rFonts w:ascii="Arial" w:hAnsi="Arial" w:cs="Arial"/>
        </w:rPr>
        <w:t>Under the LMP decomposition method, when a transmission constraint is deemed non-competitive by the DCPA, the LMP is decomposed into four components:</w:t>
      </w:r>
    </w:p>
    <w:p w14:paraId="11B48956" w14:textId="77777777" w:rsidR="00BA239B" w:rsidRPr="00746F54" w:rsidRDefault="00BA239B" w:rsidP="00BA239B">
      <w:pPr>
        <w:pStyle w:val="ParaText"/>
        <w:numPr>
          <w:ilvl w:val="0"/>
          <w:numId w:val="99"/>
        </w:numPr>
        <w:rPr>
          <w:rFonts w:ascii="Arial" w:hAnsi="Arial" w:cs="Arial"/>
        </w:rPr>
      </w:pPr>
      <w:r w:rsidRPr="00746F54">
        <w:rPr>
          <w:rFonts w:ascii="Arial" w:hAnsi="Arial" w:cs="Arial"/>
        </w:rPr>
        <w:t>The energy component;</w:t>
      </w:r>
    </w:p>
    <w:p w14:paraId="56055785" w14:textId="77777777" w:rsidR="00BA239B" w:rsidRPr="00746F54" w:rsidRDefault="00BA239B" w:rsidP="00BA239B">
      <w:pPr>
        <w:pStyle w:val="ParaText"/>
        <w:numPr>
          <w:ilvl w:val="0"/>
          <w:numId w:val="99"/>
        </w:numPr>
        <w:rPr>
          <w:rFonts w:ascii="Arial" w:hAnsi="Arial" w:cs="Arial"/>
        </w:rPr>
      </w:pPr>
      <w:r w:rsidRPr="00746F54">
        <w:rPr>
          <w:rFonts w:ascii="Arial" w:hAnsi="Arial" w:cs="Arial"/>
        </w:rPr>
        <w:t>The loss component;</w:t>
      </w:r>
    </w:p>
    <w:p w14:paraId="25FB7AC2" w14:textId="77777777" w:rsidR="00BA239B" w:rsidRPr="00746F54" w:rsidRDefault="00BA239B" w:rsidP="00BA239B">
      <w:pPr>
        <w:pStyle w:val="ParaText"/>
        <w:numPr>
          <w:ilvl w:val="0"/>
          <w:numId w:val="99"/>
        </w:numPr>
        <w:rPr>
          <w:rFonts w:ascii="Arial" w:hAnsi="Arial" w:cs="Arial"/>
        </w:rPr>
      </w:pPr>
      <w:r w:rsidRPr="00746F54">
        <w:rPr>
          <w:rFonts w:ascii="Arial" w:hAnsi="Arial" w:cs="Arial"/>
        </w:rPr>
        <w:t>The competitive congestion component; and</w:t>
      </w:r>
    </w:p>
    <w:p w14:paraId="3BA13E77" w14:textId="77777777" w:rsidR="00BA239B" w:rsidRPr="00746F54" w:rsidRDefault="00BA239B" w:rsidP="00BA239B">
      <w:pPr>
        <w:pStyle w:val="ParaText"/>
        <w:numPr>
          <w:ilvl w:val="0"/>
          <w:numId w:val="99"/>
        </w:numPr>
        <w:rPr>
          <w:rFonts w:ascii="Arial" w:hAnsi="Arial" w:cs="Arial"/>
        </w:rPr>
      </w:pPr>
      <w:r w:rsidRPr="00746F54">
        <w:rPr>
          <w:rFonts w:ascii="Arial" w:hAnsi="Arial" w:cs="Arial"/>
        </w:rPr>
        <w:t>The non-competitive congestion component.</w:t>
      </w:r>
    </w:p>
    <w:p w14:paraId="33E63AD7" w14:textId="07AD00A2" w:rsidR="00BA239B" w:rsidRPr="00746F54" w:rsidRDefault="00BA239B" w:rsidP="00BA239B">
      <w:pPr>
        <w:pStyle w:val="ParaText"/>
        <w:rPr>
          <w:rFonts w:ascii="Arial" w:hAnsi="Arial" w:cs="Arial"/>
        </w:rPr>
      </w:pPr>
      <w:r w:rsidRPr="00746F54">
        <w:rPr>
          <w:rFonts w:ascii="Arial" w:hAnsi="Arial" w:cs="Arial"/>
        </w:rPr>
        <w:t>A positive non-competitive congestion component indicates the potential for the exercise of local market power. The non-competitive congestion component is calculated to a Reference Bus selected by the CAISO that is determined to be at a location least susceptible to the exercise of local market power.</w:t>
      </w:r>
    </w:p>
    <w:p w14:paraId="226C1B41" w14:textId="12FDEB32" w:rsidR="00BA239B" w:rsidRPr="00746F54" w:rsidRDefault="00BA239B" w:rsidP="00BA239B">
      <w:pPr>
        <w:pStyle w:val="ParaText"/>
        <w:rPr>
          <w:rFonts w:ascii="Arial" w:hAnsi="Arial" w:cs="Arial"/>
        </w:rPr>
      </w:pPr>
      <w:r w:rsidRPr="00746F54">
        <w:rPr>
          <w:rFonts w:ascii="Arial" w:hAnsi="Arial" w:cs="Arial"/>
        </w:rPr>
        <w:t>EDAM Transfer constraints that are subject to mitigation are represented in the LMP decomposition by the EDAM BAA-specific power balance constraint. The shadow price on this constraint will be included in the LMP decomposition as either a competitive or non-competitive energy cost depending on the outcome of the DCPA.</w:t>
      </w:r>
    </w:p>
    <w:p w14:paraId="285E5B97" w14:textId="32349450" w:rsidR="00BA239B" w:rsidRPr="00746F54" w:rsidRDefault="00BA239B" w:rsidP="00BA239B">
      <w:pPr>
        <w:pStyle w:val="ParaText"/>
        <w:rPr>
          <w:rFonts w:ascii="Arial" w:hAnsi="Arial" w:cs="Arial"/>
        </w:rPr>
      </w:pPr>
      <w:r w:rsidRPr="00746F54">
        <w:rPr>
          <w:rFonts w:ascii="Arial" w:hAnsi="Arial" w:cs="Arial"/>
        </w:rPr>
        <w:t>Bids from any resource that are effective in relieving a non-competitive constraint are subject to mitigation. A submitted bid is mitigated downward if it exceeds both its Default Energy Bid (DEB) and the "competitive LMP" at its location, in which case it is mitigated to the higher of those two values. The competitive LMP is the LMP established in the MPM run minus the non-competitive energy and congestion components thereof.</w:t>
      </w:r>
    </w:p>
    <w:p w14:paraId="46EC7491" w14:textId="4A44619A" w:rsidR="00BA239B" w:rsidRPr="00746F54" w:rsidRDefault="00BA239B" w:rsidP="00BA239B">
      <w:pPr>
        <w:pStyle w:val="Heading3"/>
        <w:rPr>
          <w:rFonts w:ascii="Arial" w:hAnsi="Arial" w:cs="Arial"/>
        </w:rPr>
      </w:pPr>
      <w:bookmarkStart w:id="216" w:name="_Toc211337962"/>
      <w:r w:rsidRPr="00746F54">
        <w:rPr>
          <w:rFonts w:ascii="Arial" w:hAnsi="Arial" w:cs="Arial"/>
        </w:rPr>
        <w:t>Default Energy Bids</w:t>
      </w:r>
      <w:bookmarkEnd w:id="216"/>
      <w:r w:rsidRPr="00746F54">
        <w:rPr>
          <w:rFonts w:ascii="Arial" w:hAnsi="Arial" w:cs="Arial"/>
        </w:rPr>
        <w:t xml:space="preserve"> </w:t>
      </w:r>
    </w:p>
    <w:p w14:paraId="7840A7CD" w14:textId="30D98EB8" w:rsidR="00BA239B" w:rsidRPr="00746F54" w:rsidRDefault="00BA239B" w:rsidP="00BA239B">
      <w:pPr>
        <w:pStyle w:val="ParaText"/>
        <w:rPr>
          <w:rFonts w:ascii="Arial" w:hAnsi="Arial" w:cs="Arial"/>
        </w:rPr>
      </w:pPr>
      <w:r w:rsidRPr="00746F54">
        <w:rPr>
          <w:rFonts w:ascii="Arial" w:hAnsi="Arial" w:cs="Arial"/>
        </w:rPr>
        <w:t xml:space="preserve">The Default Energy Bid (DEB) is a </w:t>
      </w:r>
      <w:proofErr w:type="gramStart"/>
      <w:r w:rsidRPr="00746F54">
        <w:rPr>
          <w:rFonts w:ascii="Arial" w:hAnsi="Arial" w:cs="Arial"/>
        </w:rPr>
        <w:t>resource's</w:t>
      </w:r>
      <w:proofErr w:type="gramEnd"/>
      <w:r w:rsidRPr="00746F54">
        <w:rPr>
          <w:rFonts w:ascii="Arial" w:hAnsi="Arial" w:cs="Arial"/>
        </w:rPr>
        <w:t xml:space="preserve"> cost-based bid that is used as the floor for bid mitigation </w:t>
      </w:r>
      <w:proofErr w:type="gramStart"/>
      <w:r w:rsidRPr="00746F54">
        <w:rPr>
          <w:rFonts w:ascii="Arial" w:hAnsi="Arial" w:cs="Arial"/>
        </w:rPr>
        <w:t>in the event that</w:t>
      </w:r>
      <w:proofErr w:type="gramEnd"/>
      <w:r w:rsidRPr="00746F54">
        <w:rPr>
          <w:rFonts w:ascii="Arial" w:hAnsi="Arial" w:cs="Arial"/>
        </w:rPr>
        <w:t xml:space="preserve"> the market operator determines the resource has market power. DEBs are calculated daily for the Day-Ahead Market.</w:t>
      </w:r>
    </w:p>
    <w:p w14:paraId="7B07DC54" w14:textId="32BF0384" w:rsidR="00BA239B" w:rsidRPr="00746F54" w:rsidRDefault="00BA239B" w:rsidP="00BA239B">
      <w:pPr>
        <w:pStyle w:val="ParaText"/>
        <w:rPr>
          <w:rFonts w:ascii="Arial" w:hAnsi="Arial" w:cs="Arial"/>
        </w:rPr>
      </w:pPr>
      <w:r w:rsidRPr="00746F54">
        <w:rPr>
          <w:rFonts w:ascii="Arial" w:hAnsi="Arial" w:cs="Arial"/>
        </w:rPr>
        <w:t xml:space="preserve">For additional details on DEB calculation methodologies, please refer to the </w:t>
      </w:r>
      <w:r w:rsidRPr="00746F54">
        <w:rPr>
          <w:rFonts w:ascii="Arial" w:hAnsi="Arial" w:cs="Arial"/>
          <w:i/>
          <w:iCs/>
        </w:rPr>
        <w:t>Market Instruments</w:t>
      </w:r>
      <w:r w:rsidRPr="00746F54">
        <w:rPr>
          <w:rFonts w:ascii="Arial" w:hAnsi="Arial" w:cs="Arial"/>
        </w:rPr>
        <w:t xml:space="preserve"> Business Practice Manual, Attachment D.</w:t>
      </w:r>
    </w:p>
    <w:p w14:paraId="3BBD72FD" w14:textId="3C819211" w:rsidR="005C7EAA" w:rsidRPr="00746F54" w:rsidRDefault="005C7EAA" w:rsidP="005C7EAA">
      <w:pPr>
        <w:pStyle w:val="Heading2"/>
        <w:rPr>
          <w:rFonts w:ascii="Arial" w:hAnsi="Arial" w:cs="Arial"/>
        </w:rPr>
      </w:pPr>
      <w:bookmarkStart w:id="217" w:name="_Toc211337963"/>
      <w:bookmarkStart w:id="218" w:name="_Toc228963733"/>
      <w:r w:rsidRPr="00746F54">
        <w:rPr>
          <w:rFonts w:ascii="Arial" w:hAnsi="Arial" w:cs="Arial"/>
        </w:rPr>
        <w:lastRenderedPageBreak/>
        <w:t>IFM in the EDAM Area</w:t>
      </w:r>
      <w:bookmarkEnd w:id="217"/>
      <w:bookmarkEnd w:id="218"/>
    </w:p>
    <w:p w14:paraId="504135EB" w14:textId="2BA5A746" w:rsidR="00671B08" w:rsidRPr="00746F54" w:rsidRDefault="005C7EAA" w:rsidP="00671B08">
      <w:pPr>
        <w:pStyle w:val="ParaText"/>
        <w:rPr>
          <w:rFonts w:ascii="Arial" w:hAnsi="Arial" w:cs="Arial"/>
          <w:u w:val="single"/>
        </w:rPr>
      </w:pPr>
      <w:r w:rsidRPr="00746F54">
        <w:rPr>
          <w:rFonts w:ascii="Arial" w:hAnsi="Arial" w:cs="Arial"/>
          <w:u w:val="single"/>
        </w:rPr>
        <w:t>Reference tariff section</w:t>
      </w:r>
      <w:r w:rsidR="00A46826" w:rsidRPr="00746F54">
        <w:rPr>
          <w:rFonts w:ascii="Arial" w:hAnsi="Arial" w:cs="Arial"/>
          <w:u w:val="single"/>
        </w:rPr>
        <w:t>s 31.3.1 and</w:t>
      </w:r>
      <w:r w:rsidRPr="00746F54">
        <w:rPr>
          <w:rFonts w:ascii="Arial" w:hAnsi="Arial" w:cs="Arial"/>
          <w:u w:val="single"/>
        </w:rPr>
        <w:t xml:space="preserve"> 33.31.2.2</w:t>
      </w:r>
    </w:p>
    <w:p w14:paraId="398239B4" w14:textId="637E834E" w:rsidR="002F6E03" w:rsidRPr="00746F54" w:rsidRDefault="002F6E03" w:rsidP="002F6E03">
      <w:pPr>
        <w:pStyle w:val="ParaText"/>
        <w:rPr>
          <w:rFonts w:ascii="Arial" w:hAnsi="Arial" w:cs="Arial"/>
        </w:rPr>
      </w:pPr>
      <w:r w:rsidRPr="00746F54">
        <w:rPr>
          <w:rFonts w:ascii="Arial" w:hAnsi="Arial" w:cs="Arial"/>
        </w:rPr>
        <w:t xml:space="preserve">The Integrated Forward Market (IFM) is the primary day-ahead function for co-optimizing and procuring resources across the entire EDAM footprint. For each trading hour, the IFM economically trades Energy, Imbalance Reserves Up (IRU), and Imbalance Reserves Down (IRD) for all participating Balancing Authority Areas (BAAs). Ancillary Services (AS), however, are procured only for the CAISO BAA; other EDAM BAAs self-provide </w:t>
      </w:r>
      <w:proofErr w:type="gramStart"/>
      <w:r w:rsidRPr="00746F54">
        <w:rPr>
          <w:rFonts w:ascii="Arial" w:hAnsi="Arial" w:cs="Arial"/>
        </w:rPr>
        <w:t>their</w:t>
      </w:r>
      <w:proofErr w:type="gramEnd"/>
      <w:r w:rsidRPr="00746F54">
        <w:rPr>
          <w:rFonts w:ascii="Arial" w:hAnsi="Arial" w:cs="Arial"/>
        </w:rPr>
        <w:t xml:space="preserve"> AS requirements.</w:t>
      </w:r>
    </w:p>
    <w:p w14:paraId="49321E3E" w14:textId="7D371F81" w:rsidR="002F6E03" w:rsidRPr="00746F54" w:rsidRDefault="002F6E03" w:rsidP="002F6E03">
      <w:pPr>
        <w:pStyle w:val="ParaText"/>
        <w:rPr>
          <w:rFonts w:ascii="Arial" w:hAnsi="Arial" w:cs="Arial"/>
        </w:rPr>
      </w:pPr>
      <w:r w:rsidRPr="00746F54">
        <w:rPr>
          <w:rFonts w:ascii="Arial" w:hAnsi="Arial" w:cs="Arial"/>
        </w:rPr>
        <w:t>The IFM optimization minimizes total bid costs to produce a set of financially binding hourly Day-Ahead Schedules and Imbalance Reserve Awards, respecting all resource and transmission constraints. To support settlement, it also produces hourly Locational Marginal Prices (LMPs) for Energy and for each Imbalance Reserve product at every pricing node in the market.</w:t>
      </w:r>
      <w:r w:rsidR="004E1625" w:rsidRPr="00746F54">
        <w:rPr>
          <w:rFonts w:ascii="Arial" w:hAnsi="Arial" w:cs="Arial"/>
        </w:rPr>
        <w:t xml:space="preserve"> For additional information on the IFM processes and co-optimization of Energy Bids and Imbalance Reserves, please refer to section 31.3 of the ISO tariff and the </w:t>
      </w:r>
      <w:r w:rsidR="004E1625" w:rsidRPr="00746F54">
        <w:rPr>
          <w:rFonts w:ascii="Arial" w:hAnsi="Arial" w:cs="Arial"/>
          <w:i/>
          <w:iCs/>
        </w:rPr>
        <w:t>Market Operations</w:t>
      </w:r>
      <w:r w:rsidR="004E1625" w:rsidRPr="00746F54">
        <w:rPr>
          <w:rFonts w:ascii="Arial" w:hAnsi="Arial" w:cs="Arial"/>
        </w:rPr>
        <w:t xml:space="preserve"> Business Practice Manual.  </w:t>
      </w:r>
    </w:p>
    <w:p w14:paraId="70BE4C5D" w14:textId="7B72A493" w:rsidR="00671B08" w:rsidRPr="00746F54" w:rsidRDefault="00671B08" w:rsidP="00671B08">
      <w:pPr>
        <w:pStyle w:val="Heading3"/>
        <w:rPr>
          <w:rFonts w:ascii="Arial" w:hAnsi="Arial" w:cs="Arial"/>
        </w:rPr>
      </w:pPr>
      <w:bookmarkStart w:id="219" w:name="_Toc211337964"/>
      <w:r w:rsidRPr="00746F54">
        <w:rPr>
          <w:rFonts w:ascii="Arial" w:hAnsi="Arial" w:cs="Arial"/>
        </w:rPr>
        <w:t>IFM Outputs</w:t>
      </w:r>
      <w:bookmarkEnd w:id="219"/>
    </w:p>
    <w:p w14:paraId="4F847D60" w14:textId="77777777" w:rsidR="00671B08" w:rsidRPr="00746F54" w:rsidRDefault="00671B08" w:rsidP="00671B08">
      <w:pPr>
        <w:pStyle w:val="ParaText"/>
        <w:rPr>
          <w:rFonts w:ascii="Arial" w:hAnsi="Arial" w:cs="Arial"/>
        </w:rPr>
      </w:pPr>
      <w:r w:rsidRPr="00746F54">
        <w:rPr>
          <w:rFonts w:ascii="Arial" w:hAnsi="Arial" w:cs="Arial"/>
        </w:rPr>
        <w:t>The following IFM output information is produced and is financially and operationally binding:</w:t>
      </w:r>
    </w:p>
    <w:p w14:paraId="28CAB3CD" w14:textId="77777777" w:rsidR="00671B08" w:rsidRPr="00746F54" w:rsidRDefault="00671B08" w:rsidP="00671B08">
      <w:pPr>
        <w:pStyle w:val="Bullet1HRt"/>
        <w:rPr>
          <w:rFonts w:ascii="Arial" w:hAnsi="Arial" w:cs="Arial"/>
        </w:rPr>
      </w:pPr>
      <w:r w:rsidRPr="00746F54">
        <w:rPr>
          <w:rFonts w:ascii="Arial" w:hAnsi="Arial" w:cs="Arial"/>
        </w:rPr>
        <w:t>Optimal Unit Commitment status (on/off) over the Time Horizon</w:t>
      </w:r>
    </w:p>
    <w:p w14:paraId="036096D8" w14:textId="77777777" w:rsidR="00671B08" w:rsidRPr="00746F54" w:rsidRDefault="00671B08" w:rsidP="00671B08">
      <w:pPr>
        <w:pStyle w:val="Bullet1HRt"/>
        <w:rPr>
          <w:rFonts w:ascii="Arial" w:hAnsi="Arial" w:cs="Arial"/>
        </w:rPr>
      </w:pPr>
      <w:r w:rsidRPr="00746F54">
        <w:rPr>
          <w:rFonts w:ascii="Arial" w:hAnsi="Arial" w:cs="Arial"/>
        </w:rPr>
        <w:t xml:space="preserve">Type of Unit Commitment status (self-commitment and CAISO-commitment) </w:t>
      </w:r>
    </w:p>
    <w:p w14:paraId="2B878801" w14:textId="77777777" w:rsidR="00671B08" w:rsidRPr="00746F54" w:rsidRDefault="00671B08" w:rsidP="00671B08">
      <w:pPr>
        <w:pStyle w:val="Bullet1HRt"/>
        <w:rPr>
          <w:rFonts w:ascii="Arial" w:hAnsi="Arial" w:cs="Arial"/>
        </w:rPr>
      </w:pPr>
      <w:r w:rsidRPr="00746F54">
        <w:rPr>
          <w:rFonts w:ascii="Arial" w:hAnsi="Arial" w:cs="Arial"/>
        </w:rPr>
        <w:t>Optimal Energy Schedule for all resources over the Time Horizon</w:t>
      </w:r>
    </w:p>
    <w:p w14:paraId="0979564C" w14:textId="77777777" w:rsidR="00671B08" w:rsidRPr="00746F54" w:rsidRDefault="00671B08" w:rsidP="00671B08">
      <w:pPr>
        <w:pStyle w:val="Bullet1HRt"/>
        <w:rPr>
          <w:rFonts w:ascii="Arial" w:hAnsi="Arial" w:cs="Arial"/>
        </w:rPr>
      </w:pPr>
      <w:r w:rsidRPr="00746F54">
        <w:rPr>
          <w:rFonts w:ascii="Arial" w:hAnsi="Arial" w:cs="Arial"/>
        </w:rPr>
        <w:t>Virtual Supply and Virtual Demand Awards</w:t>
      </w:r>
    </w:p>
    <w:p w14:paraId="0EF0637A" w14:textId="77777777" w:rsidR="00671B08" w:rsidRPr="00746F54" w:rsidRDefault="00671B08" w:rsidP="00671B08">
      <w:pPr>
        <w:pStyle w:val="Bullet1HRt"/>
        <w:rPr>
          <w:rFonts w:ascii="Arial" w:hAnsi="Arial" w:cs="Arial"/>
        </w:rPr>
      </w:pPr>
      <w:r w:rsidRPr="00746F54">
        <w:rPr>
          <w:rFonts w:ascii="Arial" w:hAnsi="Arial" w:cs="Arial"/>
        </w:rPr>
        <w:t>Optimal AS Award for all resources over the Time Horizon</w:t>
      </w:r>
    </w:p>
    <w:p w14:paraId="3724E5D6" w14:textId="77777777" w:rsidR="00671B08" w:rsidRPr="00746F54" w:rsidRDefault="00671B08" w:rsidP="00671B08">
      <w:pPr>
        <w:pStyle w:val="Bullet1HRt"/>
        <w:rPr>
          <w:rFonts w:ascii="Arial" w:hAnsi="Arial" w:cs="Arial"/>
        </w:rPr>
      </w:pPr>
      <w:r w:rsidRPr="00746F54">
        <w:rPr>
          <w:rFonts w:ascii="Arial" w:hAnsi="Arial" w:cs="Arial"/>
        </w:rPr>
        <w:t>The total Energy and AS Bid Cost over the Time Horizon</w:t>
      </w:r>
    </w:p>
    <w:p w14:paraId="1D920428" w14:textId="77777777" w:rsidR="00671B08" w:rsidRPr="00746F54" w:rsidRDefault="00671B08" w:rsidP="00671B08">
      <w:pPr>
        <w:pStyle w:val="Bullet1HRt"/>
        <w:rPr>
          <w:rFonts w:ascii="Arial" w:hAnsi="Arial" w:cs="Arial"/>
        </w:rPr>
      </w:pPr>
      <w:r w:rsidRPr="00746F54">
        <w:rPr>
          <w:rFonts w:ascii="Arial" w:hAnsi="Arial" w:cs="Arial"/>
        </w:rPr>
        <w:t>The Start-Up Cost ($) for each Generation resource or minimum curtailment payment ($) for each dispatchable Demand/Curtailable Demand resource during each CAISO-commitment period</w:t>
      </w:r>
    </w:p>
    <w:p w14:paraId="05B63BF7" w14:textId="77777777" w:rsidR="00671B08" w:rsidRPr="00746F54" w:rsidRDefault="00671B08" w:rsidP="00671B08">
      <w:pPr>
        <w:pStyle w:val="Bullet1HRt"/>
        <w:rPr>
          <w:rFonts w:ascii="Arial" w:hAnsi="Arial" w:cs="Arial"/>
        </w:rPr>
      </w:pPr>
      <w:r w:rsidRPr="00746F54">
        <w:rPr>
          <w:rFonts w:ascii="Arial" w:hAnsi="Arial" w:cs="Arial"/>
        </w:rPr>
        <w:t>The Minimum Load Cost ($) for each Generation resource or minimum hourly payment ($) in each hour during each CAISO-commitment period</w:t>
      </w:r>
    </w:p>
    <w:p w14:paraId="3B272682" w14:textId="77777777" w:rsidR="00671B08" w:rsidRPr="00746F54" w:rsidRDefault="00671B08" w:rsidP="00671B08">
      <w:pPr>
        <w:pStyle w:val="Bullet1HRt"/>
        <w:rPr>
          <w:rFonts w:ascii="Arial" w:hAnsi="Arial" w:cs="Arial"/>
        </w:rPr>
      </w:pPr>
      <w:r w:rsidRPr="00746F54">
        <w:rPr>
          <w:rFonts w:ascii="Arial" w:hAnsi="Arial" w:cs="Arial"/>
        </w:rPr>
        <w:lastRenderedPageBreak/>
        <w:t xml:space="preserve">The Start-Up Cost/Bid function ($, Minute) or minimum curtailment payment ($) used for each resource in each CAISO-Commitment Period. </w:t>
      </w:r>
    </w:p>
    <w:p w14:paraId="67FD1068" w14:textId="77777777" w:rsidR="00671B08" w:rsidRPr="00746F54" w:rsidRDefault="00671B08" w:rsidP="00671B08">
      <w:pPr>
        <w:pStyle w:val="Bullet1HRt"/>
        <w:rPr>
          <w:rFonts w:ascii="Arial" w:hAnsi="Arial" w:cs="Arial"/>
        </w:rPr>
      </w:pPr>
      <w:r w:rsidRPr="00746F54">
        <w:rPr>
          <w:rFonts w:ascii="Arial" w:hAnsi="Arial" w:cs="Arial"/>
        </w:rPr>
        <w:t xml:space="preserve">LMPs for each price Location including all resources; </w:t>
      </w:r>
      <w:proofErr w:type="gramStart"/>
      <w:r w:rsidRPr="00746F54">
        <w:rPr>
          <w:rFonts w:ascii="Arial" w:hAnsi="Arial" w:cs="Arial"/>
        </w:rPr>
        <w:t>also</w:t>
      </w:r>
      <w:proofErr w:type="gramEnd"/>
      <w:r w:rsidRPr="00746F54">
        <w:rPr>
          <w:rFonts w:ascii="Arial" w:hAnsi="Arial" w:cs="Arial"/>
        </w:rPr>
        <w:t xml:space="preserve"> LMP components (Energy, Marginal Loss, and Congestion components) </w:t>
      </w:r>
    </w:p>
    <w:p w14:paraId="726B550C" w14:textId="77777777" w:rsidR="00671B08" w:rsidRPr="00746F54" w:rsidRDefault="00671B08" w:rsidP="00671B08">
      <w:pPr>
        <w:pStyle w:val="Bullet1HRt"/>
        <w:rPr>
          <w:rFonts w:ascii="Arial" w:hAnsi="Arial" w:cs="Arial"/>
        </w:rPr>
      </w:pPr>
      <w:r w:rsidRPr="00746F54">
        <w:rPr>
          <w:rFonts w:ascii="Arial" w:hAnsi="Arial" w:cs="Arial"/>
        </w:rPr>
        <w:t xml:space="preserve">RASMP for each AS Region </w:t>
      </w:r>
    </w:p>
    <w:p w14:paraId="1AAAA373" w14:textId="77777777" w:rsidR="00671B08" w:rsidRPr="00746F54" w:rsidRDefault="00671B08" w:rsidP="00671B08">
      <w:pPr>
        <w:pStyle w:val="Bullet1HRt"/>
        <w:rPr>
          <w:rFonts w:ascii="Arial" w:hAnsi="Arial" w:cs="Arial"/>
        </w:rPr>
      </w:pPr>
      <w:r w:rsidRPr="00746F54">
        <w:rPr>
          <w:rFonts w:ascii="Arial" w:hAnsi="Arial" w:cs="Arial"/>
        </w:rPr>
        <w:t>ASMP for all resources providing Ancillary Services.</w:t>
      </w:r>
    </w:p>
    <w:p w14:paraId="1F4D3072" w14:textId="77777777" w:rsidR="00671B08" w:rsidRPr="00746F54" w:rsidRDefault="00671B08" w:rsidP="00671B08">
      <w:pPr>
        <w:pStyle w:val="Bullet1HRt"/>
        <w:rPr>
          <w:rFonts w:ascii="Arial" w:hAnsi="Arial" w:cs="Arial"/>
        </w:rPr>
      </w:pPr>
      <w:r w:rsidRPr="00746F54">
        <w:rPr>
          <w:rFonts w:ascii="Arial" w:hAnsi="Arial" w:cs="Arial"/>
        </w:rPr>
        <w:t xml:space="preserve">Resources at their effective minimum or maximum MW in each time interval </w:t>
      </w:r>
    </w:p>
    <w:p w14:paraId="6F484BB2" w14:textId="77777777" w:rsidR="00671B08" w:rsidRPr="00746F54" w:rsidRDefault="00671B08" w:rsidP="00671B08">
      <w:pPr>
        <w:pStyle w:val="Bullet1HRt"/>
        <w:rPr>
          <w:rFonts w:ascii="Arial" w:hAnsi="Arial" w:cs="Arial"/>
        </w:rPr>
      </w:pPr>
      <w:r w:rsidRPr="00746F54">
        <w:rPr>
          <w:rFonts w:ascii="Arial" w:hAnsi="Arial" w:cs="Arial"/>
        </w:rPr>
        <w:t xml:space="preserve">The level of control and Constraint priority used in obtaining the solution. This informs the CAISO's operator as to how </w:t>
      </w:r>
      <w:proofErr w:type="gramStart"/>
      <w:r w:rsidRPr="00746F54">
        <w:rPr>
          <w:rFonts w:ascii="Arial" w:hAnsi="Arial" w:cs="Arial"/>
        </w:rPr>
        <w:t>much of</w:t>
      </w:r>
      <w:proofErr w:type="gramEnd"/>
      <w:r w:rsidRPr="00746F54">
        <w:rPr>
          <w:rFonts w:ascii="Arial" w:hAnsi="Arial" w:cs="Arial"/>
        </w:rPr>
        <w:t xml:space="preserve"> uneconomic Bid segments and/or Constraint violations were necessary to solve the optimization.</w:t>
      </w:r>
    </w:p>
    <w:p w14:paraId="438CD40A" w14:textId="77777777" w:rsidR="00671B08" w:rsidRPr="00746F54" w:rsidRDefault="00671B08" w:rsidP="00671B08">
      <w:pPr>
        <w:pStyle w:val="Bullet1HRt"/>
        <w:rPr>
          <w:rFonts w:ascii="Arial" w:hAnsi="Arial" w:cs="Arial"/>
        </w:rPr>
      </w:pPr>
      <w:r w:rsidRPr="00746F54">
        <w:rPr>
          <w:rFonts w:ascii="Arial" w:hAnsi="Arial" w:cs="Arial"/>
        </w:rPr>
        <w:t xml:space="preserve">Amount of any relaxed constraint violations, i.e., the extent to which any constraint was relaxed (in MW) </w:t>
      </w:r>
      <w:proofErr w:type="gramStart"/>
      <w:r w:rsidRPr="00746F54">
        <w:rPr>
          <w:rFonts w:ascii="Arial" w:hAnsi="Arial" w:cs="Arial"/>
        </w:rPr>
        <w:t>in order to</w:t>
      </w:r>
      <w:proofErr w:type="gramEnd"/>
      <w:r w:rsidRPr="00746F54">
        <w:rPr>
          <w:rFonts w:ascii="Arial" w:hAnsi="Arial" w:cs="Arial"/>
        </w:rPr>
        <w:t xml:space="preserve"> solve the optimization.</w:t>
      </w:r>
    </w:p>
    <w:p w14:paraId="5E7BD814" w14:textId="3C61BB3B" w:rsidR="00B158EC" w:rsidRPr="00746F54" w:rsidRDefault="00671B08" w:rsidP="00671B08">
      <w:pPr>
        <w:pStyle w:val="Bullet1HRt"/>
        <w:numPr>
          <w:ilvl w:val="0"/>
          <w:numId w:val="0"/>
        </w:numPr>
        <w:rPr>
          <w:rFonts w:ascii="Arial" w:hAnsi="Arial" w:cs="Arial"/>
        </w:rPr>
      </w:pPr>
      <w:r w:rsidRPr="00746F54">
        <w:rPr>
          <w:rFonts w:ascii="Arial" w:hAnsi="Arial" w:cs="Arial"/>
        </w:rPr>
        <w:t>Both schedules and prices are derived from the pricing run of the IFM market to ensure consistency between schedules and prices. This consistency is important for prices that are financially binding to settle energy schedules.</w:t>
      </w:r>
    </w:p>
    <w:p w14:paraId="77759A04" w14:textId="4D768FE4" w:rsidR="005C7EAA" w:rsidRPr="00746F54" w:rsidRDefault="005C7EAA" w:rsidP="005C7EAA">
      <w:pPr>
        <w:pStyle w:val="Heading2"/>
        <w:rPr>
          <w:rFonts w:ascii="Arial" w:hAnsi="Arial" w:cs="Arial"/>
        </w:rPr>
      </w:pPr>
      <w:bookmarkStart w:id="220" w:name="_Toc211337965"/>
      <w:bookmarkStart w:id="221" w:name="_Toc228963734"/>
      <w:r w:rsidRPr="00746F54">
        <w:rPr>
          <w:rFonts w:ascii="Arial" w:hAnsi="Arial" w:cs="Arial"/>
        </w:rPr>
        <w:t>Residual Unit Commitment (RUC) MPM in the EDAM Area</w:t>
      </w:r>
      <w:bookmarkEnd w:id="220"/>
      <w:bookmarkEnd w:id="221"/>
    </w:p>
    <w:p w14:paraId="0115EB6B" w14:textId="11A6A327" w:rsidR="005C7EAA" w:rsidRPr="00746F54" w:rsidRDefault="005C7EAA" w:rsidP="005C7EAA">
      <w:pPr>
        <w:pStyle w:val="ParaText"/>
        <w:rPr>
          <w:rFonts w:ascii="Arial" w:hAnsi="Arial" w:cs="Arial"/>
          <w:u w:val="single"/>
        </w:rPr>
      </w:pPr>
      <w:r w:rsidRPr="00746F54">
        <w:rPr>
          <w:rFonts w:ascii="Arial" w:hAnsi="Arial" w:cs="Arial"/>
          <w:u w:val="single"/>
        </w:rPr>
        <w:t>Reference tariff section 33.31.2.3</w:t>
      </w:r>
    </w:p>
    <w:p w14:paraId="33EE926A" w14:textId="066500D2" w:rsidR="000F7506" w:rsidRPr="00746F54" w:rsidRDefault="000F7506" w:rsidP="005C7EAA">
      <w:pPr>
        <w:pStyle w:val="ParaText"/>
        <w:rPr>
          <w:rFonts w:ascii="Arial" w:hAnsi="Arial" w:cs="Arial"/>
        </w:rPr>
      </w:pPr>
      <w:r w:rsidRPr="00746F54">
        <w:rPr>
          <w:rFonts w:ascii="Arial" w:hAnsi="Arial" w:cs="Arial"/>
        </w:rPr>
        <w:t>Following the IFM and prior to the RUC, a separate market power mitigation pass is run to assess bids for Reliability Capacity Up (RCU)</w:t>
      </w:r>
      <w:r w:rsidR="003D4EA5" w:rsidRPr="00746F54">
        <w:rPr>
          <w:rFonts w:ascii="Arial" w:hAnsi="Arial" w:cs="Arial"/>
        </w:rPr>
        <w:t xml:space="preserve">.  </w:t>
      </w:r>
      <w:r w:rsidRPr="00746F54">
        <w:rPr>
          <w:rFonts w:ascii="Arial" w:hAnsi="Arial" w:cs="Arial"/>
        </w:rPr>
        <w:t xml:space="preserve">The process </w:t>
      </w:r>
      <w:r w:rsidR="003D4EA5" w:rsidRPr="00746F54">
        <w:rPr>
          <w:rFonts w:ascii="Arial" w:hAnsi="Arial" w:cs="Arial"/>
        </w:rPr>
        <w:t>identifies and mitigates potentially uncompetitive bids for RCU to ensure that the procurement of this capacity is not subject to the exercise of market power.  To the extent that any RCU bids are mitigated through the MPM process, these bids are then used as inputs into the RUC process.</w:t>
      </w:r>
    </w:p>
    <w:p w14:paraId="0F9FCAE0" w14:textId="7925B4E6" w:rsidR="003D4EA5" w:rsidRPr="00746F54" w:rsidRDefault="003D4EA5" w:rsidP="005C7EAA">
      <w:pPr>
        <w:pStyle w:val="ParaText"/>
        <w:rPr>
          <w:rFonts w:ascii="Arial" w:hAnsi="Arial" w:cs="Arial"/>
        </w:rPr>
      </w:pPr>
      <w:r w:rsidRPr="00746F54">
        <w:rPr>
          <w:rFonts w:ascii="Arial" w:hAnsi="Arial" w:cs="Arial"/>
        </w:rPr>
        <w:t xml:space="preserve">For additional information on MPM for RUC, please refer to the </w:t>
      </w:r>
      <w:r w:rsidRPr="00746F54">
        <w:rPr>
          <w:rFonts w:ascii="Arial" w:hAnsi="Arial" w:cs="Arial"/>
          <w:i/>
          <w:iCs/>
        </w:rPr>
        <w:t xml:space="preserve">Market </w:t>
      </w:r>
      <w:r w:rsidR="00700FDE" w:rsidRPr="00746F54">
        <w:rPr>
          <w:rFonts w:ascii="Arial" w:hAnsi="Arial" w:cs="Arial"/>
          <w:i/>
          <w:iCs/>
        </w:rPr>
        <w:t>Operations</w:t>
      </w:r>
      <w:r w:rsidRPr="00746F54">
        <w:rPr>
          <w:rFonts w:ascii="Arial" w:hAnsi="Arial" w:cs="Arial"/>
        </w:rPr>
        <w:t xml:space="preserve"> Business Practice Manual.</w:t>
      </w:r>
    </w:p>
    <w:p w14:paraId="681897AC" w14:textId="4813E4DC" w:rsidR="005C7EAA" w:rsidRPr="00746F54" w:rsidRDefault="000F7506" w:rsidP="005C7EAA">
      <w:pPr>
        <w:pStyle w:val="Heading2"/>
        <w:rPr>
          <w:rFonts w:ascii="Arial" w:hAnsi="Arial" w:cs="Arial"/>
        </w:rPr>
      </w:pPr>
      <w:bookmarkStart w:id="222" w:name="_Toc211337966"/>
      <w:bookmarkStart w:id="223" w:name="_Toc228963735"/>
      <w:r w:rsidRPr="00746F54">
        <w:rPr>
          <w:rFonts w:ascii="Arial" w:hAnsi="Arial" w:cs="Arial"/>
        </w:rPr>
        <w:t>RU</w:t>
      </w:r>
      <w:r w:rsidR="00A32549" w:rsidRPr="00746F54">
        <w:rPr>
          <w:rFonts w:ascii="Arial" w:hAnsi="Arial" w:cs="Arial"/>
        </w:rPr>
        <w:t>C</w:t>
      </w:r>
      <w:r w:rsidR="005C7EAA" w:rsidRPr="00746F54">
        <w:rPr>
          <w:rFonts w:ascii="Arial" w:hAnsi="Arial" w:cs="Arial"/>
        </w:rPr>
        <w:t xml:space="preserve"> in the EDAM Area</w:t>
      </w:r>
      <w:bookmarkEnd w:id="222"/>
      <w:bookmarkEnd w:id="223"/>
    </w:p>
    <w:p w14:paraId="6B981F66" w14:textId="79ABFABA" w:rsidR="005C7EAA" w:rsidRPr="00746F54" w:rsidRDefault="005C7EAA">
      <w:pPr>
        <w:pStyle w:val="ParaText"/>
        <w:rPr>
          <w:rFonts w:ascii="Arial" w:hAnsi="Arial" w:cs="Arial"/>
          <w:u w:val="single"/>
        </w:rPr>
      </w:pPr>
      <w:r w:rsidRPr="00746F54">
        <w:rPr>
          <w:rFonts w:ascii="Arial" w:hAnsi="Arial" w:cs="Arial"/>
          <w:u w:val="single"/>
        </w:rPr>
        <w:t>Reference tariff section</w:t>
      </w:r>
      <w:r w:rsidR="00A47B0E" w:rsidRPr="00746F54">
        <w:rPr>
          <w:rFonts w:ascii="Arial" w:hAnsi="Arial" w:cs="Arial"/>
          <w:u w:val="single"/>
        </w:rPr>
        <w:t>s 31.5.3 and</w:t>
      </w:r>
      <w:r w:rsidRPr="00746F54">
        <w:rPr>
          <w:rFonts w:ascii="Arial" w:hAnsi="Arial" w:cs="Arial"/>
          <w:u w:val="single"/>
        </w:rPr>
        <w:t xml:space="preserve"> 33.31.2.4</w:t>
      </w:r>
    </w:p>
    <w:p w14:paraId="47BE1B17" w14:textId="1AAD36B9" w:rsidR="00FC5A62" w:rsidRPr="00746F54" w:rsidRDefault="00FC5A62" w:rsidP="00A32549">
      <w:pPr>
        <w:pStyle w:val="ParaText"/>
        <w:rPr>
          <w:rFonts w:ascii="Arial" w:hAnsi="Arial" w:cs="Arial"/>
        </w:rPr>
      </w:pPr>
      <w:r w:rsidRPr="00746F54">
        <w:rPr>
          <w:rFonts w:ascii="Arial" w:hAnsi="Arial" w:cs="Arial"/>
        </w:rPr>
        <w:t xml:space="preserve">The RUC process occurs in the Day-Ahead Market after the IFM and serves as a key reliability function. For each Balancing Authority Area (BAA) in the EDAM, the RUC procures Reliability </w:t>
      </w:r>
      <w:r w:rsidRPr="00746F54">
        <w:rPr>
          <w:rFonts w:ascii="Arial" w:hAnsi="Arial" w:cs="Arial"/>
        </w:rPr>
        <w:lastRenderedPageBreak/>
        <w:t xml:space="preserve">Capacity Up (RCU) when the BAA's demand forecast exceeds its physical supply scheduled in the IFM. Conversely, it procures Reliability Capacity Down (RCD) to provide downward dispatch capability when the scheduled physical supply exceeds the demand forecast. This process ensures that sufficient physical capacity is available across the entire EDAM footprint to meet the </w:t>
      </w:r>
      <w:r w:rsidR="00AB48F2" w:rsidRPr="00746F54">
        <w:rPr>
          <w:rFonts w:ascii="Arial" w:hAnsi="Arial" w:cs="Arial"/>
        </w:rPr>
        <w:t>BAA Demand forecast</w:t>
      </w:r>
      <w:r w:rsidRPr="00746F54">
        <w:rPr>
          <w:rFonts w:ascii="Arial" w:hAnsi="Arial" w:cs="Arial"/>
        </w:rPr>
        <w:t xml:space="preserve"> of each participating BAA.</w:t>
      </w:r>
    </w:p>
    <w:p w14:paraId="2F3FA61F" w14:textId="02191CD2" w:rsidR="00321DF4" w:rsidRPr="00746F54" w:rsidRDefault="00321DF4" w:rsidP="00A32549">
      <w:pPr>
        <w:pStyle w:val="ParaText"/>
        <w:rPr>
          <w:rFonts w:ascii="Arial" w:hAnsi="Arial" w:cs="Arial"/>
        </w:rPr>
      </w:pPr>
      <w:r w:rsidRPr="00746F54">
        <w:rPr>
          <w:rFonts w:ascii="Arial" w:hAnsi="Arial" w:cs="Arial"/>
        </w:rPr>
        <w:t xml:space="preserve">For additional information and procedures on the RUC processes, including RCU and RCD procurement, please refer to the </w:t>
      </w:r>
      <w:r w:rsidRPr="00746F54">
        <w:rPr>
          <w:rFonts w:ascii="Arial" w:hAnsi="Arial" w:cs="Arial"/>
          <w:i/>
          <w:iCs/>
        </w:rPr>
        <w:t xml:space="preserve">Market </w:t>
      </w:r>
      <w:r w:rsidR="00700FDE" w:rsidRPr="00746F54">
        <w:rPr>
          <w:rFonts w:ascii="Arial" w:hAnsi="Arial" w:cs="Arial"/>
          <w:i/>
          <w:iCs/>
        </w:rPr>
        <w:t>Operations</w:t>
      </w:r>
      <w:r w:rsidRPr="00746F54">
        <w:rPr>
          <w:rFonts w:ascii="Arial" w:hAnsi="Arial" w:cs="Arial"/>
        </w:rPr>
        <w:t xml:space="preserve"> Business Practice Manual.</w:t>
      </w:r>
    </w:p>
    <w:p w14:paraId="728282B0" w14:textId="18734DF4" w:rsidR="0053013C" w:rsidRPr="00746F54" w:rsidRDefault="0053013C" w:rsidP="0053013C">
      <w:pPr>
        <w:pStyle w:val="Heading3"/>
        <w:rPr>
          <w:rFonts w:ascii="Arial" w:hAnsi="Arial" w:cs="Arial"/>
        </w:rPr>
      </w:pPr>
      <w:bookmarkStart w:id="224" w:name="_Toc211337967"/>
      <w:r w:rsidRPr="00746F54">
        <w:rPr>
          <w:rFonts w:ascii="Arial" w:hAnsi="Arial" w:cs="Arial"/>
        </w:rPr>
        <w:t xml:space="preserve">RUC </w:t>
      </w:r>
      <w:r w:rsidR="00B818DE" w:rsidRPr="00746F54">
        <w:rPr>
          <w:rFonts w:ascii="Arial" w:hAnsi="Arial" w:cs="Arial"/>
        </w:rPr>
        <w:t>Load Adjustments</w:t>
      </w:r>
      <w:r w:rsidRPr="00746F54">
        <w:rPr>
          <w:rFonts w:ascii="Arial" w:hAnsi="Arial" w:cs="Arial"/>
        </w:rPr>
        <w:t xml:space="preserve"> for EDAM Participants</w:t>
      </w:r>
      <w:bookmarkEnd w:id="224"/>
    </w:p>
    <w:p w14:paraId="65FB53D6" w14:textId="0DCC3771" w:rsidR="0053013C" w:rsidRPr="00746F54" w:rsidRDefault="0053013C" w:rsidP="0053013C">
      <w:pPr>
        <w:spacing w:after="0" w:line="360" w:lineRule="auto"/>
        <w:textAlignment w:val="center"/>
        <w:rPr>
          <w:rFonts w:ascii="Arial" w:hAnsi="Arial" w:cs="Arial"/>
        </w:rPr>
      </w:pPr>
      <w:r w:rsidRPr="00746F54">
        <w:rPr>
          <w:rFonts w:ascii="Arial" w:hAnsi="Arial" w:cs="Arial"/>
        </w:rPr>
        <w:t xml:space="preserve">The RUC </w:t>
      </w:r>
      <w:r w:rsidR="00B818DE" w:rsidRPr="00746F54">
        <w:rPr>
          <w:rFonts w:ascii="Arial" w:hAnsi="Arial" w:cs="Arial"/>
        </w:rPr>
        <w:t>load adjustment</w:t>
      </w:r>
      <w:r w:rsidRPr="00746F54">
        <w:rPr>
          <w:rFonts w:ascii="Arial" w:hAnsi="Arial" w:cs="Arial"/>
        </w:rPr>
        <w:t xml:space="preserve"> is an hourly MW value that is added to the forecasted load in the RUC process of the Day-Ahead Market, allowing a manual adjustment to load forecast in RUC.  The primary use of the RUC </w:t>
      </w:r>
      <w:r w:rsidR="00C103BB" w:rsidRPr="00746F54">
        <w:rPr>
          <w:rFonts w:ascii="Arial" w:hAnsi="Arial" w:cs="Arial"/>
        </w:rPr>
        <w:t>load adjustment</w:t>
      </w:r>
      <w:r w:rsidRPr="00746F54">
        <w:rPr>
          <w:rFonts w:ascii="Arial" w:hAnsi="Arial" w:cs="Arial"/>
        </w:rPr>
        <w:t xml:space="preserve"> feature is to provide extra capacity to a BA for reasons that may not be properly represented in the Day-Ahead Market.  These could include rare events such as a solar eclipse, wildfires causing non-credible multiple contingencies, or any other risks that a BA may be aware of yet cannot be adequately modeled in the market.  </w:t>
      </w:r>
    </w:p>
    <w:p w14:paraId="35257423" w14:textId="7475C1D3" w:rsidR="0053013C" w:rsidRPr="00746F54" w:rsidRDefault="0053013C" w:rsidP="0053013C">
      <w:pPr>
        <w:spacing w:after="0" w:line="360" w:lineRule="auto"/>
        <w:textAlignment w:val="center"/>
        <w:rPr>
          <w:rFonts w:ascii="Arial" w:hAnsi="Arial" w:cs="Arial"/>
        </w:rPr>
      </w:pPr>
      <w:r w:rsidRPr="00746F54">
        <w:rPr>
          <w:rFonts w:ascii="Arial" w:hAnsi="Arial" w:cs="Arial"/>
        </w:rPr>
        <w:t xml:space="preserve">To use this functionality, the EDAM entity is required to submit a spreadsheet to the secure file sharing site with 24 intervals of RUC </w:t>
      </w:r>
      <w:r w:rsidR="00C103BB" w:rsidRPr="00746F54">
        <w:rPr>
          <w:rFonts w:ascii="Arial" w:hAnsi="Arial" w:cs="Arial"/>
        </w:rPr>
        <w:t>load adjustment</w:t>
      </w:r>
      <w:r w:rsidRPr="00746F54">
        <w:rPr>
          <w:rFonts w:ascii="Arial" w:hAnsi="Arial" w:cs="Arial"/>
        </w:rPr>
        <w:t xml:space="preserve"> values to be added to the BAA load forecast for RUC only.  If no spreadsheet is provided by 10:00, the market operator shall input 0 MW values for the RUC </w:t>
      </w:r>
      <w:r w:rsidR="00C103BB" w:rsidRPr="00746F54">
        <w:rPr>
          <w:rFonts w:ascii="Arial" w:hAnsi="Arial" w:cs="Arial"/>
        </w:rPr>
        <w:t>load adjustment</w:t>
      </w:r>
      <w:r w:rsidRPr="00746F54">
        <w:rPr>
          <w:rFonts w:ascii="Arial" w:hAnsi="Arial" w:cs="Arial"/>
        </w:rPr>
        <w:t xml:space="preserve"> for the applicable DAM trade date.  If the EDAM entity has a condition requiring a non-zero RUC </w:t>
      </w:r>
      <w:r w:rsidR="00C103BB" w:rsidRPr="00746F54">
        <w:rPr>
          <w:rFonts w:ascii="Arial" w:hAnsi="Arial" w:cs="Arial"/>
        </w:rPr>
        <w:t>load adjustment</w:t>
      </w:r>
      <w:r w:rsidRPr="00746F54">
        <w:rPr>
          <w:rFonts w:ascii="Arial" w:hAnsi="Arial" w:cs="Arial"/>
        </w:rPr>
        <w:t xml:space="preserve"> and cannot access the secure file site, then they shall notify the market operator by phone prior to 10:00 to communicate values.  </w:t>
      </w:r>
    </w:p>
    <w:p w14:paraId="78E541DF" w14:textId="7D816AB7" w:rsidR="0053013C" w:rsidRPr="00746F54" w:rsidRDefault="0053013C" w:rsidP="0053013C">
      <w:pPr>
        <w:spacing w:after="0" w:line="360" w:lineRule="auto"/>
        <w:textAlignment w:val="center"/>
        <w:rPr>
          <w:rFonts w:ascii="Arial" w:hAnsi="Arial" w:cs="Arial"/>
        </w:rPr>
      </w:pPr>
      <w:r w:rsidRPr="00746F54">
        <w:rPr>
          <w:rFonts w:ascii="Arial" w:hAnsi="Arial" w:cs="Arial"/>
        </w:rPr>
        <w:t xml:space="preserve">In addition to the circumstances listed above for an operational adder RUC Net Short, there may be a need to use a RUC adjustment to procure for any deficiency of Imbalance Reserve that did not clear in IFM.  Since Imbalance Reserves requirements are cleared on the price defined in a demand curve, IFM may economically procure less than the full requirement.  Because this deficiency can be known only after the DAM IFM runs, the EDAM entity shall submit criteria to the market operator in advance of 7 days via CIDI ticket for an ongoing automatic RUC </w:t>
      </w:r>
      <w:r w:rsidR="00C103BB" w:rsidRPr="00746F54">
        <w:rPr>
          <w:rFonts w:ascii="Arial" w:hAnsi="Arial" w:cs="Arial"/>
        </w:rPr>
        <w:t>load adjustment</w:t>
      </w:r>
      <w:r w:rsidRPr="00746F54">
        <w:rPr>
          <w:rFonts w:ascii="Arial" w:hAnsi="Arial" w:cs="Arial"/>
        </w:rPr>
        <w:t xml:space="preserve"> process. The inputs are the percentage of </w:t>
      </w:r>
      <w:r w:rsidR="00E50518">
        <w:rPr>
          <w:rFonts w:ascii="Arial" w:hAnsi="Arial" w:cs="Arial"/>
        </w:rPr>
        <w:t xml:space="preserve">the full </w:t>
      </w:r>
      <w:r w:rsidRPr="00746F54">
        <w:rPr>
          <w:rFonts w:ascii="Arial" w:hAnsi="Arial" w:cs="Arial"/>
        </w:rPr>
        <w:t xml:space="preserve">Imbalance Reserve that will be added to the RUC </w:t>
      </w:r>
      <w:r w:rsidR="00C103BB" w:rsidRPr="00746F54">
        <w:rPr>
          <w:rFonts w:ascii="Arial" w:hAnsi="Arial" w:cs="Arial"/>
        </w:rPr>
        <w:t>load adjustment</w:t>
      </w:r>
      <w:r w:rsidRPr="00746F54">
        <w:rPr>
          <w:rFonts w:ascii="Arial" w:hAnsi="Arial" w:cs="Arial"/>
        </w:rPr>
        <w:t xml:space="preserve"> based on </w:t>
      </w:r>
      <w:r w:rsidR="00E50518">
        <w:rPr>
          <w:rFonts w:ascii="Arial" w:hAnsi="Arial" w:cs="Arial"/>
        </w:rPr>
        <w:t xml:space="preserve">peak </w:t>
      </w:r>
      <w:r w:rsidRPr="00746F54">
        <w:rPr>
          <w:rFonts w:ascii="Arial" w:hAnsi="Arial" w:cs="Arial"/>
        </w:rPr>
        <w:t xml:space="preserve">load level bands less the Imbalance Reserves procured in IFM.  </w:t>
      </w:r>
      <w:r w:rsidR="00E50518" w:rsidRPr="00E50518">
        <w:rPr>
          <w:rFonts w:ascii="Arial" w:hAnsi="Arial" w:cs="Arial"/>
        </w:rPr>
        <w:t xml:space="preserve">The full imbalance reserves used in this RUC adjustment process are based on the dynamic threshold set at the 97.5th percentile. </w:t>
      </w:r>
      <w:r w:rsidRPr="00746F54">
        <w:rPr>
          <w:rFonts w:ascii="Arial" w:hAnsi="Arial" w:cs="Arial"/>
        </w:rPr>
        <w:t>This table is shared with each EDAM participant securely.</w:t>
      </w:r>
    </w:p>
    <w:p w14:paraId="0E1CFC14" w14:textId="77777777" w:rsidR="0053013C" w:rsidRPr="00746F54" w:rsidRDefault="0053013C" w:rsidP="0053013C">
      <w:pPr>
        <w:spacing w:after="0"/>
        <w:textAlignment w:val="center"/>
        <w:rPr>
          <w:rFonts w:ascii="Arial" w:hAnsi="Arial" w:cs="Arial"/>
        </w:rPr>
      </w:pPr>
    </w:p>
    <w:p w14:paraId="08FF4CAF" w14:textId="77777777" w:rsidR="0053013C" w:rsidRPr="00746F54" w:rsidRDefault="0053013C" w:rsidP="0053013C">
      <w:pPr>
        <w:spacing w:after="0"/>
        <w:jc w:val="center"/>
        <w:textAlignment w:val="center"/>
        <w:rPr>
          <w:rFonts w:ascii="Arial" w:hAnsi="Arial" w:cs="Arial"/>
        </w:rPr>
      </w:pPr>
      <w:r w:rsidRPr="00746F54">
        <w:rPr>
          <w:rFonts w:ascii="Arial" w:hAnsi="Arial" w:cs="Arial"/>
        </w:rPr>
        <w:lastRenderedPageBreak/>
        <w:t>Example of the table of Peak Load Forecast to Imbalance Reserve procurement percentage:</w:t>
      </w:r>
    </w:p>
    <w:p w14:paraId="452D78A4" w14:textId="77777777" w:rsidR="0053013C" w:rsidRPr="00746F54" w:rsidRDefault="0053013C" w:rsidP="0053013C">
      <w:pPr>
        <w:spacing w:after="0"/>
        <w:jc w:val="center"/>
        <w:textAlignment w:val="center"/>
        <w:rPr>
          <w:rFonts w:ascii="Arial" w:hAnsi="Arial" w:cs="Arial"/>
        </w:rPr>
      </w:pPr>
    </w:p>
    <w:tbl>
      <w:tblPr>
        <w:tblStyle w:val="TableGrid"/>
        <w:tblW w:w="0" w:type="auto"/>
        <w:tblInd w:w="265" w:type="dxa"/>
        <w:tblLook w:val="04A0" w:firstRow="1" w:lastRow="0" w:firstColumn="1" w:lastColumn="0" w:noHBand="0" w:noVBand="1"/>
      </w:tblPr>
      <w:tblGrid>
        <w:gridCol w:w="3850"/>
        <w:gridCol w:w="2440"/>
        <w:gridCol w:w="2440"/>
      </w:tblGrid>
      <w:tr w:rsidR="002C0A1B" w:rsidRPr="00746F54" w14:paraId="0291749A" w14:textId="77777777" w:rsidTr="0039402E">
        <w:tc>
          <w:tcPr>
            <w:tcW w:w="3850" w:type="dxa"/>
            <w:shd w:val="clear" w:color="auto" w:fill="000000" w:themeFill="text1"/>
          </w:tcPr>
          <w:p w14:paraId="7C7A05B7" w14:textId="77777777" w:rsidR="002C0A1B" w:rsidRPr="00746F54" w:rsidRDefault="002C0A1B" w:rsidP="005477B0">
            <w:pPr>
              <w:spacing w:after="0"/>
              <w:jc w:val="center"/>
              <w:textAlignment w:val="center"/>
              <w:rPr>
                <w:rFonts w:ascii="Arial" w:hAnsi="Arial" w:cs="Arial"/>
                <w:b/>
                <w:color w:val="FFFFFF" w:themeColor="background1"/>
                <w:sz w:val="22"/>
                <w:szCs w:val="22"/>
              </w:rPr>
            </w:pPr>
            <w:r w:rsidRPr="00746F54">
              <w:rPr>
                <w:rFonts w:ascii="Arial" w:hAnsi="Arial" w:cs="Arial"/>
                <w:b/>
                <w:color w:val="FFFFFF" w:themeColor="background1"/>
              </w:rPr>
              <w:t>Daily Peak BAA Load Forecast</w:t>
            </w:r>
          </w:p>
        </w:tc>
        <w:tc>
          <w:tcPr>
            <w:tcW w:w="2440" w:type="dxa"/>
            <w:shd w:val="clear" w:color="auto" w:fill="000000" w:themeFill="text1"/>
          </w:tcPr>
          <w:p w14:paraId="77FAF5A5" w14:textId="77777777" w:rsidR="002C0A1B" w:rsidRPr="00746F54" w:rsidRDefault="002C0A1B" w:rsidP="005477B0">
            <w:pPr>
              <w:spacing w:after="0"/>
              <w:jc w:val="center"/>
              <w:textAlignment w:val="center"/>
              <w:rPr>
                <w:rFonts w:ascii="Arial" w:hAnsi="Arial" w:cs="Arial"/>
                <w:b/>
                <w:color w:val="FFFFFF" w:themeColor="background1"/>
              </w:rPr>
            </w:pPr>
            <w:r w:rsidRPr="00746F54">
              <w:rPr>
                <w:rFonts w:ascii="Arial" w:hAnsi="Arial" w:cs="Arial"/>
                <w:b/>
                <w:color w:val="FFFFFF" w:themeColor="background1"/>
              </w:rPr>
              <w:t xml:space="preserve">Imbalance Reserve </w:t>
            </w:r>
            <w:r w:rsidRPr="00746F54">
              <w:rPr>
                <w:rFonts w:ascii="Arial" w:hAnsi="Arial" w:cs="Arial"/>
                <w:b/>
                <w:bCs/>
                <w:color w:val="FFFFFF" w:themeColor="background1"/>
                <w:sz w:val="22"/>
                <w:szCs w:val="22"/>
              </w:rPr>
              <w:t>P</w:t>
            </w:r>
            <w:r w:rsidRPr="00746F54">
              <w:rPr>
                <w:rFonts w:ascii="Arial" w:hAnsi="Arial" w:cs="Arial"/>
                <w:b/>
                <w:bCs/>
                <w:color w:val="FFFFFF" w:themeColor="background1"/>
              </w:rPr>
              <w:t xml:space="preserve">rocurement </w:t>
            </w:r>
            <w:r w:rsidRPr="00746F54">
              <w:rPr>
                <w:rFonts w:ascii="Arial" w:hAnsi="Arial" w:cs="Arial"/>
                <w:b/>
                <w:bCs/>
                <w:color w:val="FFFFFF" w:themeColor="background1"/>
                <w:sz w:val="22"/>
                <w:szCs w:val="22"/>
              </w:rPr>
              <w:t>P</w:t>
            </w:r>
            <w:r w:rsidRPr="00746F54">
              <w:rPr>
                <w:rFonts w:ascii="Arial" w:hAnsi="Arial" w:cs="Arial"/>
                <w:b/>
                <w:bCs/>
                <w:color w:val="FFFFFF" w:themeColor="background1"/>
              </w:rPr>
              <w:t>ercentage</w:t>
            </w:r>
          </w:p>
        </w:tc>
        <w:tc>
          <w:tcPr>
            <w:tcW w:w="2440" w:type="dxa"/>
            <w:shd w:val="clear" w:color="auto" w:fill="000000" w:themeFill="text1"/>
          </w:tcPr>
          <w:p w14:paraId="075BE5DB" w14:textId="77777777" w:rsidR="0063670B" w:rsidRPr="00746F54" w:rsidRDefault="002C0A1B" w:rsidP="005477B0">
            <w:pPr>
              <w:spacing w:after="0"/>
              <w:jc w:val="center"/>
              <w:textAlignment w:val="center"/>
              <w:rPr>
                <w:rFonts w:ascii="Arial" w:hAnsi="Arial" w:cs="Arial"/>
                <w:b/>
                <w:color w:val="FFFFFF" w:themeColor="background1"/>
                <w:sz w:val="18"/>
                <w:szCs w:val="18"/>
              </w:rPr>
            </w:pPr>
            <w:r w:rsidRPr="00746F54">
              <w:rPr>
                <w:rFonts w:ascii="Arial" w:hAnsi="Arial" w:cs="Arial"/>
                <w:b/>
                <w:color w:val="FFFFFF" w:themeColor="background1"/>
                <w:sz w:val="18"/>
                <w:szCs w:val="18"/>
              </w:rPr>
              <w:t>Hours</w:t>
            </w:r>
            <w:r w:rsidR="0063670B" w:rsidRPr="00746F54">
              <w:rPr>
                <w:rFonts w:ascii="Arial" w:hAnsi="Arial" w:cs="Arial"/>
                <w:b/>
                <w:color w:val="FFFFFF" w:themeColor="background1"/>
                <w:sz w:val="18"/>
                <w:szCs w:val="18"/>
              </w:rPr>
              <w:t xml:space="preserve"> </w:t>
            </w:r>
          </w:p>
          <w:p w14:paraId="703A2B06" w14:textId="66DEAB3B" w:rsidR="002C0A1B" w:rsidRPr="00746F54" w:rsidRDefault="0063670B" w:rsidP="005477B0">
            <w:pPr>
              <w:spacing w:after="0"/>
              <w:jc w:val="center"/>
              <w:textAlignment w:val="center"/>
              <w:rPr>
                <w:rFonts w:ascii="Arial" w:hAnsi="Arial" w:cs="Arial"/>
                <w:b/>
                <w:color w:val="FFFFFF" w:themeColor="background1"/>
                <w:sz w:val="18"/>
                <w:szCs w:val="18"/>
              </w:rPr>
            </w:pPr>
            <w:r w:rsidRPr="00746F54">
              <w:rPr>
                <w:rFonts w:ascii="Arial" w:hAnsi="Arial" w:cs="Arial"/>
                <w:b/>
                <w:color w:val="FFFFFF" w:themeColor="background1"/>
                <w:sz w:val="18"/>
                <w:szCs w:val="18"/>
              </w:rPr>
              <w:t>(same for all levels)</w:t>
            </w:r>
          </w:p>
        </w:tc>
      </w:tr>
      <w:tr w:rsidR="002C0A1B" w:rsidRPr="00746F54" w14:paraId="267FB9FD" w14:textId="77777777" w:rsidTr="00EC24BB">
        <w:tc>
          <w:tcPr>
            <w:tcW w:w="3850" w:type="dxa"/>
          </w:tcPr>
          <w:p w14:paraId="2132EF52" w14:textId="77777777" w:rsidR="002C0A1B" w:rsidRPr="00746F54" w:rsidRDefault="002C0A1B" w:rsidP="005477B0">
            <w:pPr>
              <w:spacing w:after="0"/>
              <w:jc w:val="right"/>
              <w:textAlignment w:val="center"/>
              <w:rPr>
                <w:rFonts w:ascii="Arial" w:hAnsi="Arial" w:cs="Arial"/>
                <w:sz w:val="22"/>
                <w:szCs w:val="22"/>
              </w:rPr>
            </w:pPr>
            <w:r w:rsidRPr="00746F54">
              <w:rPr>
                <w:rFonts w:ascii="Arial" w:hAnsi="Arial" w:cs="Arial"/>
              </w:rPr>
              <w:t>0-5,000 MW</w:t>
            </w:r>
          </w:p>
        </w:tc>
        <w:tc>
          <w:tcPr>
            <w:tcW w:w="2440" w:type="dxa"/>
          </w:tcPr>
          <w:p w14:paraId="29542D56" w14:textId="77777777" w:rsidR="002C0A1B" w:rsidRPr="00746F54" w:rsidRDefault="002C0A1B" w:rsidP="005477B0">
            <w:pPr>
              <w:spacing w:after="0"/>
              <w:jc w:val="right"/>
              <w:textAlignment w:val="center"/>
              <w:rPr>
                <w:rFonts w:ascii="Arial" w:hAnsi="Arial" w:cs="Arial"/>
              </w:rPr>
            </w:pPr>
            <w:r w:rsidRPr="00746F54">
              <w:rPr>
                <w:rFonts w:ascii="Arial" w:hAnsi="Arial" w:cs="Arial"/>
              </w:rPr>
              <w:t>0%</w:t>
            </w:r>
          </w:p>
        </w:tc>
        <w:tc>
          <w:tcPr>
            <w:tcW w:w="2440" w:type="dxa"/>
          </w:tcPr>
          <w:p w14:paraId="3A13D92F" w14:textId="2F8C0F6A" w:rsidR="002C0A1B" w:rsidRPr="00746F54" w:rsidRDefault="002C0A1B" w:rsidP="00636D40">
            <w:pPr>
              <w:spacing w:after="0"/>
              <w:jc w:val="center"/>
              <w:textAlignment w:val="center"/>
              <w:rPr>
                <w:rFonts w:ascii="Arial" w:hAnsi="Arial" w:cs="Arial"/>
                <w:sz w:val="22"/>
                <w:szCs w:val="22"/>
              </w:rPr>
            </w:pPr>
            <w:r w:rsidRPr="00746F54">
              <w:rPr>
                <w:rFonts w:ascii="Arial" w:hAnsi="Arial" w:cs="Arial"/>
                <w:sz w:val="22"/>
                <w:szCs w:val="22"/>
              </w:rPr>
              <w:t>HE 15- HE22</w:t>
            </w:r>
          </w:p>
        </w:tc>
      </w:tr>
      <w:tr w:rsidR="002C0A1B" w:rsidRPr="00746F54" w14:paraId="1714FD60" w14:textId="77777777" w:rsidTr="00AB1829">
        <w:tc>
          <w:tcPr>
            <w:tcW w:w="3850" w:type="dxa"/>
          </w:tcPr>
          <w:p w14:paraId="0D0EF78E" w14:textId="77777777" w:rsidR="002C0A1B" w:rsidRPr="00746F54" w:rsidRDefault="002C0A1B" w:rsidP="005477B0">
            <w:pPr>
              <w:spacing w:after="0"/>
              <w:jc w:val="right"/>
              <w:textAlignment w:val="center"/>
              <w:rPr>
                <w:rFonts w:ascii="Arial" w:hAnsi="Arial" w:cs="Arial"/>
                <w:sz w:val="22"/>
                <w:szCs w:val="22"/>
              </w:rPr>
            </w:pPr>
            <w:r w:rsidRPr="00746F54">
              <w:rPr>
                <w:rFonts w:ascii="Arial" w:hAnsi="Arial" w:cs="Arial"/>
              </w:rPr>
              <w:t>5,000-8,000 MW</w:t>
            </w:r>
          </w:p>
        </w:tc>
        <w:tc>
          <w:tcPr>
            <w:tcW w:w="2440" w:type="dxa"/>
          </w:tcPr>
          <w:p w14:paraId="275E46D9" w14:textId="77777777" w:rsidR="002C0A1B" w:rsidRPr="00746F54" w:rsidRDefault="002C0A1B" w:rsidP="005477B0">
            <w:pPr>
              <w:spacing w:after="0"/>
              <w:jc w:val="right"/>
              <w:textAlignment w:val="center"/>
              <w:rPr>
                <w:rFonts w:ascii="Arial" w:hAnsi="Arial" w:cs="Arial"/>
              </w:rPr>
            </w:pPr>
            <w:r w:rsidRPr="00746F54">
              <w:rPr>
                <w:rFonts w:ascii="Arial" w:hAnsi="Arial" w:cs="Arial"/>
              </w:rPr>
              <w:t>50%</w:t>
            </w:r>
          </w:p>
        </w:tc>
        <w:tc>
          <w:tcPr>
            <w:tcW w:w="2440" w:type="dxa"/>
          </w:tcPr>
          <w:p w14:paraId="123BB17F" w14:textId="5C4AD131" w:rsidR="002C0A1B" w:rsidRPr="00746F54" w:rsidRDefault="002C0A1B" w:rsidP="00636D40">
            <w:pPr>
              <w:spacing w:after="0"/>
              <w:jc w:val="center"/>
              <w:textAlignment w:val="center"/>
              <w:rPr>
                <w:rFonts w:ascii="Arial" w:hAnsi="Arial" w:cs="Arial"/>
                <w:sz w:val="22"/>
                <w:szCs w:val="22"/>
              </w:rPr>
            </w:pPr>
            <w:r w:rsidRPr="00746F54">
              <w:rPr>
                <w:rFonts w:ascii="Arial" w:hAnsi="Arial" w:cs="Arial"/>
                <w:sz w:val="22"/>
                <w:szCs w:val="22"/>
              </w:rPr>
              <w:t>HE 15- HE22</w:t>
            </w:r>
          </w:p>
        </w:tc>
      </w:tr>
      <w:tr w:rsidR="002C0A1B" w:rsidRPr="00746F54" w14:paraId="3F011041" w14:textId="77777777" w:rsidTr="00C370F3">
        <w:tc>
          <w:tcPr>
            <w:tcW w:w="3850" w:type="dxa"/>
          </w:tcPr>
          <w:p w14:paraId="1B49141C" w14:textId="77777777" w:rsidR="002C0A1B" w:rsidRPr="00746F54" w:rsidRDefault="002C0A1B" w:rsidP="005477B0">
            <w:pPr>
              <w:spacing w:after="0"/>
              <w:jc w:val="right"/>
              <w:textAlignment w:val="center"/>
              <w:rPr>
                <w:rFonts w:ascii="Arial" w:hAnsi="Arial" w:cs="Arial"/>
                <w:sz w:val="22"/>
                <w:szCs w:val="22"/>
              </w:rPr>
            </w:pPr>
            <w:r w:rsidRPr="00746F54">
              <w:rPr>
                <w:rFonts w:ascii="Arial" w:hAnsi="Arial" w:cs="Arial"/>
              </w:rPr>
              <w:t>8,000-12,000 MW</w:t>
            </w:r>
          </w:p>
        </w:tc>
        <w:tc>
          <w:tcPr>
            <w:tcW w:w="2440" w:type="dxa"/>
          </w:tcPr>
          <w:p w14:paraId="3B382659" w14:textId="77777777" w:rsidR="002C0A1B" w:rsidRPr="00746F54" w:rsidRDefault="002C0A1B" w:rsidP="005477B0">
            <w:pPr>
              <w:spacing w:after="0"/>
              <w:jc w:val="right"/>
              <w:textAlignment w:val="center"/>
              <w:rPr>
                <w:rFonts w:ascii="Arial" w:hAnsi="Arial" w:cs="Arial"/>
              </w:rPr>
            </w:pPr>
            <w:r w:rsidRPr="00746F54" w:rsidDel="00995C1C">
              <w:rPr>
                <w:rFonts w:ascii="Arial" w:hAnsi="Arial" w:cs="Arial"/>
              </w:rPr>
              <w:t>80</w:t>
            </w:r>
            <w:r w:rsidRPr="00746F54">
              <w:rPr>
                <w:rFonts w:ascii="Arial" w:hAnsi="Arial" w:cs="Arial"/>
              </w:rPr>
              <w:t>%</w:t>
            </w:r>
          </w:p>
        </w:tc>
        <w:tc>
          <w:tcPr>
            <w:tcW w:w="2440" w:type="dxa"/>
          </w:tcPr>
          <w:p w14:paraId="5D952D8B" w14:textId="787F6987" w:rsidR="002C0A1B" w:rsidRPr="00746F54" w:rsidRDefault="002C0A1B" w:rsidP="00636D40">
            <w:pPr>
              <w:spacing w:after="0"/>
              <w:jc w:val="center"/>
              <w:textAlignment w:val="center"/>
              <w:rPr>
                <w:rFonts w:ascii="Arial" w:hAnsi="Arial" w:cs="Arial"/>
                <w:sz w:val="22"/>
                <w:szCs w:val="22"/>
              </w:rPr>
            </w:pPr>
            <w:r w:rsidRPr="00746F54">
              <w:rPr>
                <w:rFonts w:ascii="Arial" w:hAnsi="Arial" w:cs="Arial"/>
                <w:sz w:val="22"/>
                <w:szCs w:val="22"/>
              </w:rPr>
              <w:t>HE 15- HE22</w:t>
            </w:r>
          </w:p>
        </w:tc>
      </w:tr>
      <w:tr w:rsidR="002C0A1B" w:rsidRPr="00746F54" w14:paraId="7B48D868" w14:textId="77777777" w:rsidTr="001E6F2A">
        <w:tc>
          <w:tcPr>
            <w:tcW w:w="3850" w:type="dxa"/>
          </w:tcPr>
          <w:p w14:paraId="26D95087" w14:textId="77777777" w:rsidR="002C0A1B" w:rsidRPr="00746F54" w:rsidRDefault="002C0A1B" w:rsidP="005477B0">
            <w:pPr>
              <w:spacing w:after="0"/>
              <w:jc w:val="right"/>
              <w:textAlignment w:val="center"/>
              <w:rPr>
                <w:rFonts w:ascii="Arial" w:hAnsi="Arial" w:cs="Arial"/>
                <w:sz w:val="22"/>
                <w:szCs w:val="22"/>
              </w:rPr>
            </w:pPr>
            <w:r w:rsidRPr="00746F54">
              <w:rPr>
                <w:rFonts w:ascii="Arial" w:hAnsi="Arial" w:cs="Arial"/>
              </w:rPr>
              <w:t>12,001 MW or greater</w:t>
            </w:r>
          </w:p>
        </w:tc>
        <w:tc>
          <w:tcPr>
            <w:tcW w:w="2440" w:type="dxa"/>
          </w:tcPr>
          <w:p w14:paraId="44B6D909" w14:textId="77777777" w:rsidR="002C0A1B" w:rsidRPr="00746F54" w:rsidRDefault="002C0A1B" w:rsidP="005477B0">
            <w:pPr>
              <w:spacing w:after="0"/>
              <w:jc w:val="right"/>
              <w:textAlignment w:val="center"/>
              <w:rPr>
                <w:rFonts w:ascii="Arial" w:hAnsi="Arial" w:cs="Arial"/>
              </w:rPr>
            </w:pPr>
            <w:r w:rsidRPr="00746F54">
              <w:rPr>
                <w:rFonts w:ascii="Arial" w:hAnsi="Arial" w:cs="Arial"/>
              </w:rPr>
              <w:t>100%</w:t>
            </w:r>
          </w:p>
        </w:tc>
        <w:tc>
          <w:tcPr>
            <w:tcW w:w="2440" w:type="dxa"/>
          </w:tcPr>
          <w:p w14:paraId="79F30662" w14:textId="7D56B1EB" w:rsidR="002C0A1B" w:rsidRPr="00746F54" w:rsidRDefault="002C0A1B" w:rsidP="00636D40">
            <w:pPr>
              <w:spacing w:after="0"/>
              <w:jc w:val="center"/>
              <w:textAlignment w:val="center"/>
              <w:rPr>
                <w:rFonts w:ascii="Arial" w:hAnsi="Arial" w:cs="Arial"/>
                <w:sz w:val="22"/>
                <w:szCs w:val="22"/>
              </w:rPr>
            </w:pPr>
            <w:r w:rsidRPr="00746F54">
              <w:rPr>
                <w:rFonts w:ascii="Arial" w:hAnsi="Arial" w:cs="Arial"/>
                <w:sz w:val="22"/>
                <w:szCs w:val="22"/>
              </w:rPr>
              <w:t>HE 15- HE22</w:t>
            </w:r>
          </w:p>
        </w:tc>
      </w:tr>
    </w:tbl>
    <w:p w14:paraId="34A302E5" w14:textId="77777777" w:rsidR="0053013C" w:rsidRPr="00746F54" w:rsidRDefault="0053013C" w:rsidP="0053013C">
      <w:pPr>
        <w:spacing w:after="0"/>
        <w:textAlignment w:val="center"/>
        <w:rPr>
          <w:rFonts w:ascii="Arial" w:hAnsi="Arial" w:cs="Arial"/>
        </w:rPr>
      </w:pPr>
    </w:p>
    <w:p w14:paraId="1D256D8E" w14:textId="74A920E6" w:rsidR="0053013C" w:rsidRPr="00746F54" w:rsidRDefault="0053013C" w:rsidP="0053013C">
      <w:pPr>
        <w:spacing w:after="0" w:line="360" w:lineRule="auto"/>
        <w:textAlignment w:val="center"/>
        <w:rPr>
          <w:rFonts w:ascii="Arial" w:hAnsi="Arial" w:cs="Arial"/>
        </w:rPr>
      </w:pPr>
      <w:r w:rsidRPr="00746F54">
        <w:rPr>
          <w:rFonts w:ascii="Arial" w:hAnsi="Arial" w:cs="Arial"/>
        </w:rPr>
        <w:t>Based on the table criteria and the level of imbalance reserves cleared in IFM, the market operator will calculate the RUC adjustment value needed for an operating date. An illustration of this assessment is provided in the following table.</w:t>
      </w:r>
    </w:p>
    <w:p w14:paraId="3FE8AAC4" w14:textId="22B6E53F" w:rsidR="0053013C" w:rsidRPr="00746F54" w:rsidRDefault="0053013C" w:rsidP="0053013C">
      <w:pPr>
        <w:spacing w:after="0"/>
        <w:textAlignment w:val="center"/>
        <w:rPr>
          <w:rFonts w:ascii="Arial" w:hAnsi="Arial" w:cs="Arial"/>
        </w:rPr>
      </w:pPr>
      <w:r w:rsidRPr="00746F54">
        <w:rPr>
          <w:rFonts w:ascii="Arial" w:hAnsi="Arial" w:cs="Arial"/>
        </w:rPr>
        <w:t xml:space="preserve">Example of the RUC </w:t>
      </w:r>
      <w:r w:rsidR="00C103BB" w:rsidRPr="00746F54">
        <w:rPr>
          <w:rFonts w:ascii="Arial" w:hAnsi="Arial" w:cs="Arial"/>
        </w:rPr>
        <w:t>load adjustment</w:t>
      </w:r>
      <w:r w:rsidRPr="00746F54">
        <w:rPr>
          <w:rFonts w:ascii="Arial" w:hAnsi="Arial" w:cs="Arial"/>
        </w:rPr>
        <w:t xml:space="preserve"> calculation for a single hourly interval for DAM for a high-load stressed day:</w:t>
      </w:r>
    </w:p>
    <w:p w14:paraId="5BEBF44C" w14:textId="77777777" w:rsidR="0053013C" w:rsidRPr="00746F54" w:rsidRDefault="0053013C" w:rsidP="0053013C">
      <w:pPr>
        <w:spacing w:after="0"/>
        <w:textAlignment w:val="center"/>
        <w:rPr>
          <w:rFonts w:ascii="Arial" w:hAnsi="Arial" w:cs="Arial"/>
        </w:rPr>
      </w:pPr>
    </w:p>
    <w:tbl>
      <w:tblPr>
        <w:tblStyle w:val="TableGrid"/>
        <w:tblW w:w="0" w:type="auto"/>
        <w:jc w:val="center"/>
        <w:tblLook w:val="04A0" w:firstRow="1" w:lastRow="0" w:firstColumn="1" w:lastColumn="0" w:noHBand="0" w:noVBand="1"/>
      </w:tblPr>
      <w:tblGrid>
        <w:gridCol w:w="6853"/>
        <w:gridCol w:w="1792"/>
      </w:tblGrid>
      <w:tr w:rsidR="0053013C" w:rsidRPr="00746F54" w14:paraId="43268891" w14:textId="77777777" w:rsidTr="0053013C">
        <w:trPr>
          <w:jc w:val="center"/>
        </w:trPr>
        <w:tc>
          <w:tcPr>
            <w:tcW w:w="6853" w:type="dxa"/>
            <w:shd w:val="clear" w:color="auto" w:fill="000000" w:themeFill="text1"/>
          </w:tcPr>
          <w:p w14:paraId="0607F250" w14:textId="77777777" w:rsidR="0053013C" w:rsidRPr="00746F54" w:rsidRDefault="0053013C" w:rsidP="005477B0">
            <w:pPr>
              <w:spacing w:after="0"/>
              <w:textAlignment w:val="center"/>
              <w:rPr>
                <w:rFonts w:ascii="Arial" w:hAnsi="Arial" w:cs="Arial"/>
                <w:b/>
                <w:bCs/>
                <w:sz w:val="22"/>
                <w:szCs w:val="22"/>
              </w:rPr>
            </w:pPr>
            <w:r w:rsidRPr="00746F54">
              <w:rPr>
                <w:rFonts w:ascii="Arial" w:hAnsi="Arial" w:cs="Arial"/>
                <w:b/>
                <w:bCs/>
              </w:rPr>
              <w:t>Item</w:t>
            </w:r>
          </w:p>
        </w:tc>
        <w:tc>
          <w:tcPr>
            <w:tcW w:w="1792" w:type="dxa"/>
            <w:shd w:val="clear" w:color="auto" w:fill="000000" w:themeFill="text1"/>
          </w:tcPr>
          <w:p w14:paraId="79E78D59" w14:textId="77777777" w:rsidR="0053013C" w:rsidRPr="00746F54" w:rsidRDefault="0053013C" w:rsidP="005477B0">
            <w:pPr>
              <w:spacing w:after="0"/>
              <w:jc w:val="right"/>
              <w:textAlignment w:val="center"/>
              <w:rPr>
                <w:rFonts w:ascii="Arial" w:hAnsi="Arial" w:cs="Arial"/>
                <w:b/>
                <w:bCs/>
                <w:sz w:val="22"/>
                <w:szCs w:val="22"/>
              </w:rPr>
            </w:pPr>
            <w:r w:rsidRPr="00746F54">
              <w:rPr>
                <w:rFonts w:ascii="Arial" w:hAnsi="Arial" w:cs="Arial"/>
                <w:b/>
                <w:bCs/>
              </w:rPr>
              <w:t>MWs</w:t>
            </w:r>
          </w:p>
        </w:tc>
      </w:tr>
      <w:tr w:rsidR="0053013C" w:rsidRPr="00746F54" w14:paraId="29CFC234" w14:textId="77777777" w:rsidTr="0053013C">
        <w:trPr>
          <w:jc w:val="center"/>
        </w:trPr>
        <w:tc>
          <w:tcPr>
            <w:tcW w:w="6853" w:type="dxa"/>
          </w:tcPr>
          <w:p w14:paraId="3851F89F" w14:textId="2DDE31D4" w:rsidR="0053013C" w:rsidRPr="00746F54" w:rsidRDefault="0053013C" w:rsidP="005477B0">
            <w:pPr>
              <w:spacing w:after="0"/>
              <w:textAlignment w:val="center"/>
              <w:rPr>
                <w:rFonts w:ascii="Arial" w:hAnsi="Arial" w:cs="Arial"/>
                <w:sz w:val="22"/>
                <w:szCs w:val="22"/>
              </w:rPr>
            </w:pPr>
            <w:r w:rsidRPr="00746F54">
              <w:rPr>
                <w:rFonts w:ascii="Arial" w:hAnsi="Arial" w:cs="Arial"/>
              </w:rPr>
              <w:t xml:space="preserve">EDAM BAA Submitted RUC </w:t>
            </w:r>
            <w:r w:rsidRPr="00746F54">
              <w:rPr>
                <w:rFonts w:ascii="Arial" w:hAnsi="Arial" w:cs="Arial"/>
                <w:sz w:val="22"/>
                <w:szCs w:val="22"/>
              </w:rPr>
              <w:t>N</w:t>
            </w:r>
            <w:r w:rsidRPr="00746F54">
              <w:rPr>
                <w:rFonts w:ascii="Arial" w:hAnsi="Arial" w:cs="Arial"/>
              </w:rPr>
              <w:t xml:space="preserve">et </w:t>
            </w:r>
            <w:r w:rsidRPr="00746F54">
              <w:rPr>
                <w:rFonts w:ascii="Arial" w:hAnsi="Arial" w:cs="Arial"/>
                <w:sz w:val="22"/>
                <w:szCs w:val="22"/>
              </w:rPr>
              <w:t>S</w:t>
            </w:r>
            <w:r w:rsidRPr="00746F54">
              <w:rPr>
                <w:rFonts w:ascii="Arial" w:hAnsi="Arial" w:cs="Arial"/>
              </w:rPr>
              <w:t xml:space="preserve">hort </w:t>
            </w:r>
            <w:r w:rsidRPr="00746F54">
              <w:rPr>
                <w:rFonts w:ascii="Arial" w:hAnsi="Arial" w:cs="Arial"/>
                <w:sz w:val="22"/>
                <w:szCs w:val="22"/>
              </w:rPr>
              <w:t>Operational Adder</w:t>
            </w:r>
            <w:r w:rsidRPr="00746F54">
              <w:rPr>
                <w:rFonts w:ascii="Arial" w:hAnsi="Arial" w:cs="Arial"/>
              </w:rPr>
              <w:t xml:space="preserve"> (prior to 1000)</w:t>
            </w:r>
          </w:p>
        </w:tc>
        <w:tc>
          <w:tcPr>
            <w:tcW w:w="1792" w:type="dxa"/>
          </w:tcPr>
          <w:p w14:paraId="3BBBAC5A"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0 MW</w:t>
            </w:r>
          </w:p>
        </w:tc>
      </w:tr>
      <w:tr w:rsidR="0053013C" w:rsidRPr="00746F54" w14:paraId="27A61413" w14:textId="77777777" w:rsidTr="0053013C">
        <w:trPr>
          <w:jc w:val="center"/>
        </w:trPr>
        <w:tc>
          <w:tcPr>
            <w:tcW w:w="6853" w:type="dxa"/>
          </w:tcPr>
          <w:p w14:paraId="2259FFA3"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EDAM BAA Peak Load Forecast</w:t>
            </w:r>
          </w:p>
        </w:tc>
        <w:tc>
          <w:tcPr>
            <w:tcW w:w="1792" w:type="dxa"/>
          </w:tcPr>
          <w:p w14:paraId="71B0D346"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11,500 MW</w:t>
            </w:r>
          </w:p>
        </w:tc>
      </w:tr>
      <w:tr w:rsidR="0053013C" w:rsidRPr="00746F54" w14:paraId="363C19BC" w14:textId="77777777" w:rsidTr="0053013C">
        <w:trPr>
          <w:jc w:val="center"/>
        </w:trPr>
        <w:tc>
          <w:tcPr>
            <w:tcW w:w="6853" w:type="dxa"/>
          </w:tcPr>
          <w:p w14:paraId="295CE942"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EDAM BAA Imbalance Reserve Requirement (locked at 0900)</w:t>
            </w:r>
          </w:p>
        </w:tc>
        <w:tc>
          <w:tcPr>
            <w:tcW w:w="1792" w:type="dxa"/>
          </w:tcPr>
          <w:p w14:paraId="6C6D3FF9"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1000 MW</w:t>
            </w:r>
          </w:p>
        </w:tc>
      </w:tr>
      <w:tr w:rsidR="0053013C" w:rsidRPr="00746F54" w14:paraId="672349A2" w14:textId="77777777" w:rsidTr="0053013C">
        <w:trPr>
          <w:jc w:val="center"/>
        </w:trPr>
        <w:tc>
          <w:tcPr>
            <w:tcW w:w="6853" w:type="dxa"/>
          </w:tcPr>
          <w:p w14:paraId="3AB418E4"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Imbalance Reserves Procured in IFM</w:t>
            </w:r>
          </w:p>
        </w:tc>
        <w:tc>
          <w:tcPr>
            <w:tcW w:w="1792" w:type="dxa"/>
          </w:tcPr>
          <w:p w14:paraId="2A2BA345"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650 MW</w:t>
            </w:r>
          </w:p>
        </w:tc>
      </w:tr>
      <w:tr w:rsidR="0053013C" w:rsidRPr="00746F54" w14:paraId="52D4F137" w14:textId="77777777" w:rsidTr="0053013C">
        <w:trPr>
          <w:jc w:val="center"/>
        </w:trPr>
        <w:tc>
          <w:tcPr>
            <w:tcW w:w="6853" w:type="dxa"/>
          </w:tcPr>
          <w:p w14:paraId="4FCCB533"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Imbalance Reserve Deficiency</w:t>
            </w:r>
          </w:p>
        </w:tc>
        <w:tc>
          <w:tcPr>
            <w:tcW w:w="1792" w:type="dxa"/>
          </w:tcPr>
          <w:p w14:paraId="7B504E33"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350 MW</w:t>
            </w:r>
          </w:p>
        </w:tc>
      </w:tr>
      <w:tr w:rsidR="0053013C" w:rsidRPr="00746F54" w14:paraId="217D6F81" w14:textId="77777777" w:rsidTr="0053013C">
        <w:trPr>
          <w:jc w:val="center"/>
        </w:trPr>
        <w:tc>
          <w:tcPr>
            <w:tcW w:w="6853" w:type="dxa"/>
          </w:tcPr>
          <w:p w14:paraId="4E369A07"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EDAM BAA IR Procurement Percentage</w:t>
            </w:r>
          </w:p>
        </w:tc>
        <w:tc>
          <w:tcPr>
            <w:tcW w:w="1792" w:type="dxa"/>
          </w:tcPr>
          <w:p w14:paraId="1FBFF096"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80% (800 MW)</w:t>
            </w:r>
          </w:p>
        </w:tc>
      </w:tr>
      <w:tr w:rsidR="0053013C" w:rsidRPr="00746F54" w14:paraId="063320E5" w14:textId="77777777" w:rsidTr="0053013C">
        <w:trPr>
          <w:jc w:val="center"/>
        </w:trPr>
        <w:tc>
          <w:tcPr>
            <w:tcW w:w="6853" w:type="dxa"/>
          </w:tcPr>
          <w:p w14:paraId="642B6680" w14:textId="77777777" w:rsidR="0053013C" w:rsidRPr="00746F54" w:rsidRDefault="0053013C" w:rsidP="005477B0">
            <w:pPr>
              <w:spacing w:after="0"/>
              <w:textAlignment w:val="center"/>
              <w:rPr>
                <w:rFonts w:ascii="Arial" w:hAnsi="Arial" w:cs="Arial"/>
                <w:sz w:val="22"/>
                <w:szCs w:val="22"/>
              </w:rPr>
            </w:pPr>
            <w:r w:rsidRPr="00746F54">
              <w:rPr>
                <w:rFonts w:ascii="Arial" w:hAnsi="Arial" w:cs="Arial"/>
              </w:rPr>
              <w:t>EDAM BAA IR RUC Adder</w:t>
            </w:r>
          </w:p>
        </w:tc>
        <w:tc>
          <w:tcPr>
            <w:tcW w:w="1792" w:type="dxa"/>
          </w:tcPr>
          <w:p w14:paraId="70083701" w14:textId="77777777" w:rsidR="0053013C" w:rsidRPr="00746F54" w:rsidRDefault="0053013C" w:rsidP="005477B0">
            <w:pPr>
              <w:spacing w:after="0"/>
              <w:jc w:val="right"/>
              <w:textAlignment w:val="center"/>
              <w:rPr>
                <w:rFonts w:ascii="Arial" w:hAnsi="Arial" w:cs="Arial"/>
                <w:sz w:val="22"/>
                <w:szCs w:val="22"/>
              </w:rPr>
            </w:pPr>
            <w:r w:rsidRPr="00746F54">
              <w:rPr>
                <w:rFonts w:ascii="Arial" w:hAnsi="Arial" w:cs="Arial"/>
              </w:rPr>
              <w:t>150 MW</w:t>
            </w:r>
          </w:p>
        </w:tc>
      </w:tr>
    </w:tbl>
    <w:p w14:paraId="7281AAA9" w14:textId="77777777" w:rsidR="0053013C" w:rsidRPr="00746F54" w:rsidRDefault="0053013C" w:rsidP="0053013C">
      <w:pPr>
        <w:spacing w:after="0"/>
        <w:textAlignment w:val="center"/>
        <w:rPr>
          <w:rFonts w:ascii="Arial" w:hAnsi="Arial" w:cs="Arial"/>
        </w:rPr>
      </w:pPr>
    </w:p>
    <w:p w14:paraId="1CC72D8A" w14:textId="068E3BC8" w:rsidR="0053013C" w:rsidRPr="00746F54" w:rsidRDefault="0053013C" w:rsidP="0053013C">
      <w:pPr>
        <w:spacing w:after="0" w:line="360" w:lineRule="auto"/>
        <w:textAlignment w:val="center"/>
        <w:rPr>
          <w:rFonts w:ascii="Arial" w:hAnsi="Arial" w:cs="Arial"/>
        </w:rPr>
      </w:pPr>
      <w:r w:rsidRPr="00746F54">
        <w:rPr>
          <w:rFonts w:ascii="Arial" w:hAnsi="Arial" w:cs="Arial"/>
        </w:rPr>
        <w:t xml:space="preserve">The IR deficiency and corresponding adder to the RUC </w:t>
      </w:r>
      <w:r w:rsidR="00C103BB" w:rsidRPr="00746F54">
        <w:rPr>
          <w:rFonts w:ascii="Arial" w:hAnsi="Arial" w:cs="Arial"/>
        </w:rPr>
        <w:t>load adjustment</w:t>
      </w:r>
      <w:r w:rsidRPr="00746F54">
        <w:rPr>
          <w:rFonts w:ascii="Arial" w:hAnsi="Arial" w:cs="Arial"/>
        </w:rPr>
        <w:t xml:space="preserve"> will be calculated for each hourly interval after IFM and before RUC. The table mapping peak load forecast to the IR procurement percentage is considered by the market operator to be a standing request for a RUC </w:t>
      </w:r>
      <w:r w:rsidR="00C103BB" w:rsidRPr="00746F54">
        <w:rPr>
          <w:rFonts w:ascii="Arial" w:hAnsi="Arial" w:cs="Arial"/>
        </w:rPr>
        <w:t>load adjustment</w:t>
      </w:r>
      <w:r w:rsidRPr="00746F54">
        <w:rPr>
          <w:rFonts w:ascii="Arial" w:hAnsi="Arial" w:cs="Arial"/>
        </w:rPr>
        <w:t xml:space="preserve"> in the case that the EDAM entity is IR deficient after the IFM run.  The market operator shall update the RUC </w:t>
      </w:r>
      <w:r w:rsidR="00C103BB" w:rsidRPr="00746F54">
        <w:rPr>
          <w:rFonts w:ascii="Arial" w:hAnsi="Arial" w:cs="Arial"/>
        </w:rPr>
        <w:t>load adjustment</w:t>
      </w:r>
      <w:r w:rsidRPr="00746F54">
        <w:rPr>
          <w:rFonts w:ascii="Arial" w:hAnsi="Arial" w:cs="Arial"/>
        </w:rPr>
        <w:t xml:space="preserve"> values for each EDAM entity based on their desired Imbalance Reserve Procurement Percentage regardless of whether that entity submitted a RUC </w:t>
      </w:r>
      <w:r w:rsidR="00C103BB" w:rsidRPr="00746F54">
        <w:rPr>
          <w:rFonts w:ascii="Arial" w:hAnsi="Arial" w:cs="Arial"/>
        </w:rPr>
        <w:t>load adjustment</w:t>
      </w:r>
      <w:r w:rsidRPr="00746F54">
        <w:rPr>
          <w:rFonts w:ascii="Arial" w:hAnsi="Arial" w:cs="Arial"/>
        </w:rPr>
        <w:t xml:space="preserve"> for that Trade Date.  If the EDAM entity has submitted a file with a manual RUC </w:t>
      </w:r>
      <w:r w:rsidR="00C103BB" w:rsidRPr="00746F54">
        <w:rPr>
          <w:rFonts w:ascii="Arial" w:hAnsi="Arial" w:cs="Arial"/>
        </w:rPr>
        <w:t>load adjustment</w:t>
      </w:r>
      <w:r w:rsidRPr="00746F54">
        <w:rPr>
          <w:rFonts w:ascii="Arial" w:hAnsi="Arial" w:cs="Arial"/>
        </w:rPr>
        <w:t xml:space="preserve">, then the market operator shall add the calculated IR RUC adder to the submitted RUC </w:t>
      </w:r>
      <w:r w:rsidR="00C103BB" w:rsidRPr="00746F54">
        <w:rPr>
          <w:rFonts w:ascii="Arial" w:hAnsi="Arial" w:cs="Arial"/>
        </w:rPr>
        <w:t>load adjustment</w:t>
      </w:r>
      <w:r w:rsidRPr="00746F54">
        <w:rPr>
          <w:rFonts w:ascii="Arial" w:hAnsi="Arial" w:cs="Arial"/>
        </w:rPr>
        <w:t xml:space="preserve"> for each hourly interval as shown in the example above.  </w:t>
      </w:r>
    </w:p>
    <w:p w14:paraId="271F8C7A" w14:textId="199816A4" w:rsidR="0053013C" w:rsidRPr="00746F54" w:rsidRDefault="0053013C" w:rsidP="0053013C">
      <w:pPr>
        <w:spacing w:after="0" w:line="360" w:lineRule="auto"/>
        <w:textAlignment w:val="center"/>
        <w:rPr>
          <w:rFonts w:ascii="Arial" w:hAnsi="Arial" w:cs="Arial"/>
        </w:rPr>
      </w:pPr>
      <w:r w:rsidRPr="00746F54">
        <w:rPr>
          <w:rFonts w:ascii="Arial" w:hAnsi="Arial" w:cs="Arial"/>
        </w:rPr>
        <w:t xml:space="preserve">The final RUC </w:t>
      </w:r>
      <w:r w:rsidR="00C103BB" w:rsidRPr="00746F54">
        <w:rPr>
          <w:rFonts w:ascii="Arial" w:hAnsi="Arial" w:cs="Arial"/>
        </w:rPr>
        <w:t>load adjustments</w:t>
      </w:r>
      <w:r w:rsidRPr="00746F54">
        <w:rPr>
          <w:rFonts w:ascii="Arial" w:hAnsi="Arial" w:cs="Arial"/>
        </w:rPr>
        <w:t xml:space="preserve"> value that is implemented for each interval will be posted on OASIS along with a reason code provided by the EDAM entity.  </w:t>
      </w:r>
      <w:r w:rsidR="006D537C" w:rsidRPr="00746F54">
        <w:rPr>
          <w:rFonts w:ascii="Arial" w:hAnsi="Arial" w:cs="Arial"/>
        </w:rPr>
        <w:t>R</w:t>
      </w:r>
      <w:r w:rsidRPr="00746F54">
        <w:rPr>
          <w:rFonts w:ascii="Arial" w:hAnsi="Arial" w:cs="Arial"/>
        </w:rPr>
        <w:t xml:space="preserve">eason codes </w:t>
      </w:r>
      <w:proofErr w:type="gramStart"/>
      <w:r w:rsidRPr="00746F54">
        <w:rPr>
          <w:rFonts w:ascii="Arial" w:hAnsi="Arial" w:cs="Arial"/>
        </w:rPr>
        <w:t>include:</w:t>
      </w:r>
      <w:proofErr w:type="gramEnd"/>
      <w:r w:rsidRPr="00746F54">
        <w:rPr>
          <w:rFonts w:ascii="Arial" w:hAnsi="Arial" w:cs="Arial"/>
        </w:rPr>
        <w:t xml:space="preserve"> Load Uncertainty, VER Uncertainty, Transmission Risk, </w:t>
      </w:r>
      <w:r w:rsidR="002C0A1B" w:rsidRPr="00746F54">
        <w:rPr>
          <w:rFonts w:ascii="Arial" w:hAnsi="Arial" w:cs="Arial"/>
        </w:rPr>
        <w:t xml:space="preserve">and </w:t>
      </w:r>
      <w:r w:rsidRPr="00746F54">
        <w:rPr>
          <w:rFonts w:ascii="Arial" w:hAnsi="Arial" w:cs="Arial"/>
        </w:rPr>
        <w:t>Gas Supply Risk</w:t>
      </w:r>
      <w:r w:rsidR="002C0A1B" w:rsidRPr="00746F54">
        <w:rPr>
          <w:rFonts w:ascii="Arial" w:hAnsi="Arial" w:cs="Arial"/>
        </w:rPr>
        <w:t>, IRU Deficiency and RDRR Capacity in RSE.</w:t>
      </w:r>
    </w:p>
    <w:p w14:paraId="0C0C1BE1" w14:textId="7AA940C8" w:rsidR="0053013C" w:rsidRPr="00746F54" w:rsidRDefault="0053013C" w:rsidP="00A848A7">
      <w:pPr>
        <w:spacing w:after="0" w:line="360" w:lineRule="auto"/>
        <w:textAlignment w:val="center"/>
        <w:rPr>
          <w:rFonts w:ascii="Arial" w:hAnsi="Arial" w:cs="Arial"/>
        </w:rPr>
      </w:pPr>
      <w:r w:rsidRPr="00746F54">
        <w:rPr>
          <w:rFonts w:ascii="Arial" w:hAnsi="Arial" w:cs="Arial"/>
        </w:rPr>
        <w:lastRenderedPageBreak/>
        <w:t xml:space="preserve">The adjustments associated with Eligible Intermittent Resources and forecasted Self-Schedules to be submitted in the Real-Time Market can result in either positive demand side adjustments or positive supply side adjustments. Positive demand side adjustments are reflected as </w:t>
      </w:r>
      <w:proofErr w:type="gramStart"/>
      <w:r w:rsidRPr="00746F54">
        <w:rPr>
          <w:rFonts w:ascii="Arial" w:hAnsi="Arial" w:cs="Arial"/>
        </w:rPr>
        <w:t>adjustment</w:t>
      </w:r>
      <w:proofErr w:type="gramEnd"/>
      <w:r w:rsidRPr="00746F54">
        <w:rPr>
          <w:rFonts w:ascii="Arial" w:hAnsi="Arial" w:cs="Arial"/>
        </w:rPr>
        <w:t xml:space="preserve"> to the load forecast and positive Supply side adjustments are represented as an adjustment to the expected output of individual resources or imports.  Refer to CAISO Tariff Section 31.5.3 and </w:t>
      </w:r>
      <w:r w:rsidRPr="00746F54">
        <w:rPr>
          <w:rFonts w:ascii="Arial" w:hAnsi="Arial" w:cs="Arial"/>
          <w:i/>
        </w:rPr>
        <w:t xml:space="preserve">Market </w:t>
      </w:r>
      <w:r w:rsidRPr="00746F54">
        <w:rPr>
          <w:rFonts w:ascii="Arial" w:hAnsi="Arial" w:cs="Arial"/>
          <w:i/>
          <w:iCs/>
        </w:rPr>
        <w:t>Op</w:t>
      </w:r>
      <w:r w:rsidR="00C103BB" w:rsidRPr="00746F54">
        <w:rPr>
          <w:rFonts w:ascii="Arial" w:hAnsi="Arial" w:cs="Arial"/>
          <w:i/>
          <w:iCs/>
        </w:rPr>
        <w:t>erations</w:t>
      </w:r>
      <w:r w:rsidRPr="00746F54">
        <w:rPr>
          <w:rFonts w:ascii="Arial" w:hAnsi="Arial" w:cs="Arial"/>
        </w:rPr>
        <w:t xml:space="preserve"> BPM 6.7.2.5.1.  </w:t>
      </w:r>
    </w:p>
    <w:p w14:paraId="5737A190" w14:textId="3F9ACAEF" w:rsidR="000F1FFE" w:rsidRPr="00746F54" w:rsidRDefault="000F1FFE" w:rsidP="000F1FFE">
      <w:pPr>
        <w:pStyle w:val="Heading2"/>
        <w:rPr>
          <w:rFonts w:ascii="Arial" w:hAnsi="Arial" w:cs="Arial"/>
        </w:rPr>
      </w:pPr>
      <w:bookmarkStart w:id="225" w:name="_Toc211337968"/>
      <w:bookmarkStart w:id="226" w:name="_Toc228963736"/>
      <w:r w:rsidRPr="00746F54">
        <w:rPr>
          <w:rFonts w:ascii="Arial" w:hAnsi="Arial" w:cs="Arial"/>
        </w:rPr>
        <w:t>Net Export EDAM Transfer Constraint</w:t>
      </w:r>
      <w:bookmarkEnd w:id="225"/>
      <w:bookmarkEnd w:id="226"/>
    </w:p>
    <w:p w14:paraId="2E7AD741" w14:textId="11B4880B" w:rsidR="000F1FFE" w:rsidRPr="00746F54" w:rsidRDefault="000F1FFE" w:rsidP="000F1FFE">
      <w:pPr>
        <w:pStyle w:val="ParaText"/>
        <w:rPr>
          <w:rFonts w:ascii="Arial" w:hAnsi="Arial" w:cs="Arial"/>
          <w:u w:val="single"/>
        </w:rPr>
      </w:pPr>
      <w:r w:rsidRPr="00746F54">
        <w:rPr>
          <w:rFonts w:ascii="Arial" w:hAnsi="Arial" w:cs="Arial"/>
          <w:u w:val="single"/>
        </w:rPr>
        <w:t>Reference tariff section 33.31.3</w:t>
      </w:r>
    </w:p>
    <w:p w14:paraId="214D0815" w14:textId="0DA0BC83" w:rsidR="00721A81" w:rsidRPr="00746F54" w:rsidRDefault="00721A81" w:rsidP="00721A81">
      <w:pPr>
        <w:pStyle w:val="ParaText"/>
        <w:rPr>
          <w:rFonts w:ascii="Arial" w:hAnsi="Arial" w:cs="Arial"/>
        </w:rPr>
      </w:pPr>
      <w:r w:rsidRPr="00746F54">
        <w:rPr>
          <w:rFonts w:ascii="Arial" w:hAnsi="Arial" w:cs="Arial"/>
        </w:rPr>
        <w:t xml:space="preserve">Required Submission Time: Prior to 10 a.m., the EDAM entity can notify the market operator of the parameters of the net export EDAM transfer constraint for use in the binding day-ahead resource sufficiency evaluation and day-ahead market execution.  </w:t>
      </w:r>
    </w:p>
    <w:p w14:paraId="233BD8DC" w14:textId="4EE105A5" w:rsidR="00721A81" w:rsidRPr="00746F54" w:rsidRDefault="00721A81" w:rsidP="00721A81">
      <w:pPr>
        <w:spacing w:after="0"/>
        <w:rPr>
          <w:rFonts w:ascii="Arial" w:eastAsia="Calibri" w:hAnsi="Arial" w:cs="Arial"/>
        </w:rPr>
      </w:pPr>
      <w:r w:rsidRPr="00746F54">
        <w:rPr>
          <w:rFonts w:ascii="Arial" w:hAnsi="Arial" w:cs="Arial"/>
        </w:rPr>
        <w:t xml:space="preserve">The EDAM Net Export Transfer Constraint is a configurable input controlled by each Balancing Authority Area in the EDAM Area via SIBR input.  The EDAM Net Export Transfer Constraint is used to constrain the </w:t>
      </w:r>
      <w:proofErr w:type="gramStart"/>
      <w:r w:rsidRPr="00746F54">
        <w:rPr>
          <w:rFonts w:ascii="Arial" w:hAnsi="Arial" w:cs="Arial"/>
        </w:rPr>
        <w:t>amount</w:t>
      </w:r>
      <w:proofErr w:type="gramEnd"/>
      <w:r w:rsidRPr="00746F54">
        <w:rPr>
          <w:rFonts w:ascii="Arial" w:hAnsi="Arial" w:cs="Arial"/>
        </w:rPr>
        <w:t xml:space="preserve"> of resources that can be optimized in support of transfers from one EDAM Balancing Authority Area to another EDAM Balancing Authority.  </w:t>
      </w:r>
      <w:bookmarkStart w:id="227" w:name="_Hlk210046411"/>
      <w:r w:rsidRPr="00746F54">
        <w:rPr>
          <w:rFonts w:ascii="Arial" w:hAnsi="Arial" w:cs="Arial"/>
        </w:rPr>
        <w:t>Each Balancing Authority Area in the EDAM Area, including EDAM entities and the CISO BAA, may configure the constraint to establish the Balancing Authority Area’s hourly limit on the amount of net EDAM Transfer exports</w:t>
      </w:r>
      <w:bookmarkEnd w:id="227"/>
      <w:r w:rsidRPr="00746F54">
        <w:rPr>
          <w:rFonts w:ascii="Arial" w:hAnsi="Arial" w:cs="Arial"/>
        </w:rPr>
        <w:t xml:space="preserve">.  </w:t>
      </w:r>
      <w:r w:rsidRPr="00746F54">
        <w:rPr>
          <w:rFonts w:ascii="Arial" w:eastAsia="Calibri" w:hAnsi="Arial" w:cs="Arial"/>
        </w:rPr>
        <w:t>If an entity elects to enable the EDAM Net Export Transfer Constraint, then the market operator will apply the constraint across all IFM market processes, including but not limited to, deployment scenarios for IRU/IRD and the RUC.</w:t>
      </w:r>
    </w:p>
    <w:p w14:paraId="49FB317C" w14:textId="77777777" w:rsidR="00721A81" w:rsidRPr="00746F54" w:rsidRDefault="00721A81" w:rsidP="00721A81">
      <w:pPr>
        <w:spacing w:after="0"/>
        <w:rPr>
          <w:rFonts w:ascii="Arial" w:eastAsia="Calibri" w:hAnsi="Arial" w:cs="Arial"/>
        </w:rPr>
      </w:pPr>
    </w:p>
    <w:p w14:paraId="37F56968" w14:textId="1A347202" w:rsidR="00721A81" w:rsidRPr="00746F54" w:rsidRDefault="00721A81" w:rsidP="00721A81">
      <w:pPr>
        <w:pStyle w:val="ParaText"/>
        <w:rPr>
          <w:rFonts w:ascii="Arial" w:hAnsi="Arial" w:cs="Arial"/>
        </w:rPr>
      </w:pPr>
      <w:r w:rsidRPr="00746F54">
        <w:rPr>
          <w:rFonts w:ascii="Arial" w:hAnsi="Arial" w:cs="Arial"/>
        </w:rPr>
        <w:t xml:space="preserve">A Net Export Transfer Constraint cannot be submitted or manually requested after the 10:00 RSE results or Day-Ahead execution commences, even if the EDAM unexpectedly fails the 10:00 RSE.  EDAM entities will submit the required information via the market operator SIBR system UI.  The default setting for all hours is 0 Reliability Margin MWs and 0% Confidence Factor.  After each Day-Ahead execution, all values shall return to the value default of zero.      </w:t>
      </w:r>
    </w:p>
    <w:p w14:paraId="1F786858" w14:textId="19E85653" w:rsidR="00721A81" w:rsidRPr="00746F54" w:rsidRDefault="00721A81" w:rsidP="00721A81">
      <w:pPr>
        <w:pStyle w:val="ParaText"/>
        <w:rPr>
          <w:rFonts w:ascii="Arial" w:hAnsi="Arial" w:cs="Arial"/>
        </w:rPr>
      </w:pPr>
      <w:r w:rsidRPr="00746F54">
        <w:rPr>
          <w:rFonts w:ascii="Arial" w:hAnsi="Arial" w:cs="Arial"/>
        </w:rPr>
        <w:t xml:space="preserve">For each entity that chooses to elect to utilize the voluntary constraint prior to the Day-Ahead market, including both EDAM entities including the CISO BA operator, the EDAM Net Export Transfer Constraint will be computed utilizing two configurable parameters communicated to the market operator in the manner described below.  </w:t>
      </w:r>
    </w:p>
    <w:p w14:paraId="6947C4D8" w14:textId="77777777" w:rsidR="00721A81" w:rsidRPr="00746F54" w:rsidRDefault="00721A81" w:rsidP="00721A81">
      <w:pPr>
        <w:pStyle w:val="ParaText"/>
        <w:numPr>
          <w:ilvl w:val="0"/>
          <w:numId w:val="68"/>
        </w:numPr>
        <w:rPr>
          <w:rFonts w:ascii="Arial" w:hAnsi="Arial" w:cs="Arial"/>
        </w:rPr>
      </w:pPr>
      <w:r w:rsidRPr="00746F54">
        <w:rPr>
          <w:rFonts w:ascii="Arial" w:hAnsi="Arial" w:cs="Arial"/>
        </w:rPr>
        <w:t xml:space="preserve">The entity will specify a configurable confidence factor to account for the delivery risk associated with the portion of offered supply that is not eligible for the RSE, but may be used to facilitate EDAM export transfers, and </w:t>
      </w:r>
    </w:p>
    <w:p w14:paraId="01577A40" w14:textId="77777777" w:rsidR="00721A81" w:rsidRPr="00746F54" w:rsidRDefault="00721A81" w:rsidP="00721A81">
      <w:pPr>
        <w:pStyle w:val="ParaText"/>
        <w:numPr>
          <w:ilvl w:val="0"/>
          <w:numId w:val="68"/>
        </w:numPr>
        <w:rPr>
          <w:rFonts w:ascii="Arial" w:hAnsi="Arial" w:cs="Arial"/>
        </w:rPr>
      </w:pPr>
      <w:r w:rsidRPr="00746F54">
        <w:rPr>
          <w:rFonts w:ascii="Arial" w:hAnsi="Arial" w:cs="Arial"/>
        </w:rPr>
        <w:lastRenderedPageBreak/>
        <w:t>The entity will specify a configurable EDAM Reliability Margin (also referred to as a configurable “non-exportable capacity margin”) to establish an additional limit on the amount of capacity held within the balancing area.</w:t>
      </w:r>
    </w:p>
    <w:p w14:paraId="13F98C52" w14:textId="2D838E23" w:rsidR="00721A81" w:rsidRPr="00746F54" w:rsidRDefault="00721A81" w:rsidP="00721A81">
      <w:pPr>
        <w:pStyle w:val="ParaText"/>
        <w:rPr>
          <w:rFonts w:ascii="Arial" w:hAnsi="Arial" w:cs="Arial"/>
        </w:rPr>
      </w:pPr>
      <w:r w:rsidRPr="00746F54">
        <w:rPr>
          <w:rFonts w:ascii="Arial" w:hAnsi="Arial" w:cs="Arial"/>
        </w:rPr>
        <w:t xml:space="preserve">To compute the hourly limit on net EDAM Transfer exports from the electing balancing area, the market operator will utilize the configurable inputs provided by the electing entity and will compute the EDAM Net Export Transfer Constraint in accordance with the following formulas: </w:t>
      </w:r>
    </w:p>
    <w:p w14:paraId="6788D990" w14:textId="77777777" w:rsidR="00721A81" w:rsidRPr="00746F54" w:rsidRDefault="00721A81" w:rsidP="00721A81">
      <w:pPr>
        <w:pStyle w:val="ParaText"/>
        <w:ind w:firstLine="360"/>
        <w:rPr>
          <w:rFonts w:ascii="Arial" w:hAnsi="Arial" w:cs="Arial"/>
        </w:rPr>
      </w:pPr>
      <w:r w:rsidRPr="00746F54">
        <w:rPr>
          <w:rFonts w:ascii="Arial" w:hAnsi="Arial" w:cs="Arial"/>
        </w:rPr>
        <w:t>IFM Formula:</w:t>
      </w:r>
    </w:p>
    <w:p w14:paraId="080F625D" w14:textId="77777777" w:rsidR="00721A81" w:rsidRPr="00746F54" w:rsidRDefault="00721A81" w:rsidP="00721A81">
      <w:pPr>
        <w:spacing w:after="0"/>
        <w:ind w:left="360"/>
        <w:rPr>
          <w:rFonts w:ascii="Arial" w:hAnsi="Arial" w:cs="Arial"/>
        </w:rPr>
      </w:pPr>
      <w:r w:rsidRPr="00746F54">
        <w:rPr>
          <w:rFonts w:ascii="Arial" w:hAnsi="Arial" w:cs="Arial"/>
          <w:noProof/>
        </w:rPr>
        <w:drawing>
          <wp:inline distT="0" distB="0" distL="0" distR="0" wp14:anchorId="5C57C8F5" wp14:editId="2EC53DA4">
            <wp:extent cx="4800600" cy="2124075"/>
            <wp:effectExtent l="0" t="0" r="0" b="9525"/>
            <wp:docPr id="1436774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4800600" cy="2124075"/>
                    </a:xfrm>
                    <a:prstGeom prst="rect">
                      <a:avLst/>
                    </a:prstGeom>
                    <a:noFill/>
                    <a:ln>
                      <a:noFill/>
                    </a:ln>
                  </pic:spPr>
                </pic:pic>
              </a:graphicData>
            </a:graphic>
          </wp:inline>
        </w:drawing>
      </w:r>
    </w:p>
    <w:p w14:paraId="513D3AF0" w14:textId="77777777" w:rsidR="00721A81" w:rsidRPr="00746F54" w:rsidRDefault="00721A81" w:rsidP="00721A81">
      <w:pPr>
        <w:spacing w:after="0"/>
        <w:ind w:left="360"/>
        <w:rPr>
          <w:rFonts w:ascii="Arial" w:hAnsi="Arial" w:cs="Arial"/>
        </w:rPr>
      </w:pPr>
    </w:p>
    <w:p w14:paraId="350AE906" w14:textId="77777777" w:rsidR="00721A81" w:rsidRPr="00746F54" w:rsidRDefault="00721A81" w:rsidP="00721A81">
      <w:pPr>
        <w:spacing w:after="0"/>
        <w:ind w:left="360"/>
        <w:rPr>
          <w:rFonts w:ascii="Arial" w:hAnsi="Arial" w:cs="Arial"/>
        </w:rPr>
      </w:pPr>
      <w:r w:rsidRPr="00746F54">
        <w:rPr>
          <w:rFonts w:ascii="Arial" w:hAnsi="Arial" w:cs="Arial"/>
        </w:rPr>
        <w:tab/>
        <w:t>RUC Formula:</w:t>
      </w:r>
    </w:p>
    <w:p w14:paraId="7E9A4ADE" w14:textId="77777777" w:rsidR="00721A81" w:rsidRPr="00746F54" w:rsidRDefault="00721A81" w:rsidP="00721A81">
      <w:pPr>
        <w:spacing w:after="0"/>
        <w:ind w:left="360"/>
        <w:rPr>
          <w:rFonts w:ascii="Arial" w:hAnsi="Arial" w:cs="Arial"/>
        </w:rPr>
      </w:pPr>
    </w:p>
    <w:p w14:paraId="00370FA1" w14:textId="77777777" w:rsidR="00721A81" w:rsidRPr="00746F54" w:rsidRDefault="00721A81" w:rsidP="00721A81">
      <w:pPr>
        <w:spacing w:after="0"/>
        <w:ind w:left="360"/>
        <w:rPr>
          <w:rFonts w:ascii="Arial" w:hAnsi="Arial" w:cs="Arial"/>
        </w:rPr>
      </w:pPr>
      <w:r w:rsidRPr="00746F54">
        <w:rPr>
          <w:rFonts w:ascii="Arial" w:hAnsi="Arial" w:cs="Arial"/>
          <w:noProof/>
        </w:rPr>
        <w:drawing>
          <wp:inline distT="0" distB="0" distL="0" distR="0" wp14:anchorId="5FDA7FDD" wp14:editId="5C681F78">
            <wp:extent cx="4810125" cy="2257425"/>
            <wp:effectExtent l="0" t="0" r="9525" b="9525"/>
            <wp:docPr id="1930349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810125" cy="2257425"/>
                    </a:xfrm>
                    <a:prstGeom prst="rect">
                      <a:avLst/>
                    </a:prstGeom>
                    <a:noFill/>
                    <a:ln>
                      <a:noFill/>
                    </a:ln>
                  </pic:spPr>
                </pic:pic>
              </a:graphicData>
            </a:graphic>
          </wp:inline>
        </w:drawing>
      </w:r>
    </w:p>
    <w:p w14:paraId="5B5F3308" w14:textId="77777777" w:rsidR="00721A81" w:rsidRPr="00746F54" w:rsidRDefault="00721A81" w:rsidP="00721A81">
      <w:pPr>
        <w:spacing w:after="0"/>
        <w:ind w:left="360"/>
        <w:rPr>
          <w:rFonts w:ascii="Arial" w:hAnsi="Arial" w:cs="Arial"/>
        </w:rPr>
      </w:pPr>
    </w:p>
    <w:p w14:paraId="6E35A5CD" w14:textId="77777777" w:rsidR="00721A81" w:rsidRPr="00746F54" w:rsidRDefault="00721A81" w:rsidP="00721A81">
      <w:pPr>
        <w:spacing w:after="0"/>
        <w:ind w:left="360"/>
        <w:rPr>
          <w:rFonts w:ascii="Arial" w:hAnsi="Arial" w:cs="Arial"/>
        </w:rPr>
      </w:pPr>
      <w:r w:rsidRPr="00746F54">
        <w:rPr>
          <w:rFonts w:ascii="Arial" w:hAnsi="Arial" w:cs="Arial"/>
        </w:rPr>
        <w:t>Where:</w:t>
      </w:r>
    </w:p>
    <w:p w14:paraId="1B26A748" w14:textId="77777777" w:rsidR="00721A81" w:rsidRPr="00746F54" w:rsidRDefault="00721A81" w:rsidP="00721A81">
      <w:pPr>
        <w:spacing w:after="0"/>
        <w:ind w:left="360"/>
        <w:rPr>
          <w:rFonts w:ascii="Arial" w:hAnsi="Arial" w:cs="Arial"/>
        </w:rPr>
      </w:pPr>
    </w:p>
    <w:p w14:paraId="34EC27BC" w14:textId="77777777" w:rsidR="00721A81" w:rsidRPr="00746F54" w:rsidRDefault="00721A81" w:rsidP="00721A81">
      <w:pPr>
        <w:pStyle w:val="ListParagraph"/>
        <w:numPr>
          <w:ilvl w:val="0"/>
          <w:numId w:val="8"/>
        </w:numPr>
        <w:spacing w:after="0"/>
        <w:contextualSpacing/>
        <w:rPr>
          <w:rFonts w:ascii="Arial" w:hAnsi="Arial" w:cs="Arial"/>
        </w:rPr>
      </w:pPr>
      <w:r w:rsidRPr="00746F54">
        <w:rPr>
          <w:rFonts w:ascii="Arial" w:hAnsi="Arial" w:cs="Arial"/>
          <w:i/>
        </w:rPr>
        <w:t>RSE Eligible Supply</w:t>
      </w:r>
      <w:r w:rsidRPr="00746F54">
        <w:rPr>
          <w:rFonts w:ascii="Arial" w:hAnsi="Arial" w:cs="Arial"/>
        </w:rPr>
        <w:t xml:space="preserve"> = supply that is eligible to satisfy the EDAM RSE.</w:t>
      </w:r>
      <w:r w:rsidRPr="00746F54" w:rsidDel="00E37E5B">
        <w:rPr>
          <w:rFonts w:ascii="Arial" w:hAnsi="Arial" w:cs="Arial"/>
        </w:rPr>
        <w:t xml:space="preserve"> </w:t>
      </w:r>
    </w:p>
    <w:p w14:paraId="62BD2213" w14:textId="77777777" w:rsidR="00721A81" w:rsidRPr="00746F54" w:rsidRDefault="00721A81" w:rsidP="00721A81">
      <w:pPr>
        <w:pStyle w:val="ListParagraph"/>
        <w:numPr>
          <w:ilvl w:val="0"/>
          <w:numId w:val="8"/>
        </w:numPr>
        <w:spacing w:after="0"/>
        <w:contextualSpacing/>
        <w:rPr>
          <w:rFonts w:ascii="Arial" w:hAnsi="Arial" w:cs="Arial"/>
        </w:rPr>
      </w:pPr>
      <w:r w:rsidRPr="00746F54">
        <w:rPr>
          <w:rFonts w:ascii="Arial" w:hAnsi="Arial" w:cs="Arial"/>
          <w:i/>
        </w:rPr>
        <w:t>Non RSE Eligible Supply</w:t>
      </w:r>
      <w:r w:rsidRPr="00746F54">
        <w:rPr>
          <w:rFonts w:ascii="Arial" w:hAnsi="Arial" w:cs="Arial"/>
        </w:rPr>
        <w:t xml:space="preserve"> = supply that is ineligible to count toward the EDAM RSE. </w:t>
      </w:r>
    </w:p>
    <w:p w14:paraId="0CD11762" w14:textId="2AF09CDF" w:rsidR="00721A81" w:rsidRPr="00746F54" w:rsidRDefault="00721A81" w:rsidP="00721A81">
      <w:pPr>
        <w:pStyle w:val="ListParagraph"/>
        <w:numPr>
          <w:ilvl w:val="0"/>
          <w:numId w:val="8"/>
        </w:numPr>
        <w:spacing w:after="0"/>
        <w:contextualSpacing/>
        <w:rPr>
          <w:rFonts w:ascii="Arial" w:hAnsi="Arial" w:cs="Arial"/>
        </w:rPr>
      </w:pPr>
      <w:r w:rsidRPr="00746F54">
        <w:rPr>
          <w:rFonts w:ascii="Arial" w:hAnsi="Arial" w:cs="Arial"/>
          <w:i/>
        </w:rPr>
        <w:lastRenderedPageBreak/>
        <w:t>Confidence Factor</w:t>
      </w:r>
      <w:r w:rsidRPr="00746F54">
        <w:rPr>
          <w:rFonts w:ascii="Arial" w:hAnsi="Arial" w:cs="Arial"/>
        </w:rPr>
        <w:t xml:space="preserve"> = an optional factor that accounts for confidence in delivery associated with a portion of the Non-RSE Eligible Supply. </w:t>
      </w:r>
    </w:p>
    <w:p w14:paraId="4C7AD455" w14:textId="77777777" w:rsidR="00721A81" w:rsidRPr="00746F54" w:rsidRDefault="00721A81" w:rsidP="00721A81">
      <w:pPr>
        <w:pStyle w:val="ListParagraph"/>
        <w:numPr>
          <w:ilvl w:val="0"/>
          <w:numId w:val="8"/>
        </w:numPr>
        <w:spacing w:after="0"/>
        <w:contextualSpacing/>
        <w:rPr>
          <w:rFonts w:ascii="Arial" w:hAnsi="Arial" w:cs="Arial"/>
        </w:rPr>
      </w:pPr>
      <w:r w:rsidRPr="00746F54">
        <w:rPr>
          <w:rFonts w:ascii="Arial" w:hAnsi="Arial" w:cs="Arial"/>
          <w:i/>
        </w:rPr>
        <w:t xml:space="preserve">RSE Obligation = </w:t>
      </w:r>
      <w:r w:rsidRPr="00746F54">
        <w:rPr>
          <w:rFonts w:ascii="Arial" w:hAnsi="Arial" w:cs="Arial"/>
        </w:rPr>
        <w:t xml:space="preserve">the EDAM RSE obligations set forth in Section 33.31.1, including the demand forecast, imbalance reserve requirements, and the ancillary services requirements. </w:t>
      </w:r>
    </w:p>
    <w:p w14:paraId="2525681B" w14:textId="6398E747" w:rsidR="00721A81" w:rsidRPr="00746F54" w:rsidRDefault="00721A81" w:rsidP="00721A81">
      <w:pPr>
        <w:pStyle w:val="ListParagraph"/>
        <w:numPr>
          <w:ilvl w:val="0"/>
          <w:numId w:val="8"/>
        </w:numPr>
        <w:spacing w:after="0"/>
        <w:contextualSpacing/>
        <w:rPr>
          <w:rFonts w:ascii="Arial" w:hAnsi="Arial" w:cs="Arial"/>
        </w:rPr>
      </w:pPr>
      <w:r w:rsidRPr="00746F54">
        <w:rPr>
          <w:rFonts w:ascii="Arial" w:hAnsi="Arial" w:cs="Arial"/>
          <w:i/>
        </w:rPr>
        <w:t xml:space="preserve">EDAM Reliability Margin = </w:t>
      </w:r>
      <w:r w:rsidRPr="00746F54">
        <w:rPr>
          <w:rFonts w:ascii="Arial" w:hAnsi="Arial" w:cs="Arial"/>
        </w:rPr>
        <w:t>represents an additional amount of capacity established by the EDAM BAA to tighten the limit on the BAA’s net export transfer, if necessary, in limited conditions.</w:t>
      </w:r>
    </w:p>
    <w:p w14:paraId="394A40D5" w14:textId="77777777" w:rsidR="00721A81" w:rsidRPr="00746F54" w:rsidRDefault="00721A81" w:rsidP="00721A81">
      <w:pPr>
        <w:pStyle w:val="ListParagraph"/>
        <w:spacing w:after="0"/>
        <w:contextualSpacing/>
        <w:rPr>
          <w:rFonts w:ascii="Arial" w:hAnsi="Arial" w:cs="Arial"/>
        </w:rPr>
      </w:pPr>
    </w:p>
    <w:p w14:paraId="7933CE9E" w14:textId="457DE0D9" w:rsidR="00721A81" w:rsidRPr="00746F54" w:rsidRDefault="00721A81" w:rsidP="00721A81">
      <w:pPr>
        <w:spacing w:after="0" w:line="360" w:lineRule="auto"/>
        <w:rPr>
          <w:rFonts w:ascii="Arial" w:hAnsi="Arial" w:cs="Arial"/>
        </w:rPr>
      </w:pPr>
      <w:r w:rsidRPr="00746F54">
        <w:rPr>
          <w:rFonts w:ascii="Arial" w:hAnsi="Arial" w:cs="Arial"/>
        </w:rPr>
        <w:t xml:space="preserve">Use of the EDAM Net Export Transfer Constraint is </w:t>
      </w:r>
      <w:proofErr w:type="gramStart"/>
      <w:r w:rsidRPr="00746F54">
        <w:rPr>
          <w:rFonts w:ascii="Arial" w:hAnsi="Arial" w:cs="Arial"/>
        </w:rPr>
        <w:t>voluntary</w:t>
      </w:r>
      <w:proofErr w:type="gramEnd"/>
      <w:r w:rsidRPr="00746F54">
        <w:rPr>
          <w:rFonts w:ascii="Arial" w:hAnsi="Arial" w:cs="Arial"/>
        </w:rPr>
        <w:t xml:space="preserve"> and market operator will only apply the constraint when elected by the EDAM entity following the procedures specified herein.  The configurable confidence factors and reliability margins for each entity will be published on OASIS. For additional details on the </w:t>
      </w:r>
      <w:proofErr w:type="gramStart"/>
      <w:r w:rsidRPr="00746F54">
        <w:rPr>
          <w:rFonts w:ascii="Arial" w:hAnsi="Arial" w:cs="Arial"/>
        </w:rPr>
        <w:t>reporting</w:t>
      </w:r>
      <w:proofErr w:type="gramEnd"/>
      <w:r w:rsidRPr="00746F54">
        <w:rPr>
          <w:rFonts w:ascii="Arial" w:hAnsi="Arial" w:cs="Arial"/>
        </w:rPr>
        <w:t>, see the market instruments BPM.</w:t>
      </w:r>
    </w:p>
    <w:p w14:paraId="475E2AD1" w14:textId="77777777" w:rsidR="0078756A" w:rsidRPr="00746F54" w:rsidRDefault="0078756A" w:rsidP="00721A81">
      <w:pPr>
        <w:spacing w:after="0" w:line="360" w:lineRule="auto"/>
        <w:rPr>
          <w:rFonts w:ascii="Arial" w:hAnsi="Arial" w:cs="Arial"/>
        </w:rPr>
      </w:pPr>
    </w:p>
    <w:p w14:paraId="7F9379D7" w14:textId="7AAFA606" w:rsidR="0078756A" w:rsidRPr="00746F54" w:rsidRDefault="0004571C" w:rsidP="0078756A">
      <w:pPr>
        <w:pStyle w:val="Heading2"/>
        <w:rPr>
          <w:rFonts w:ascii="Arial" w:hAnsi="Arial" w:cs="Arial"/>
        </w:rPr>
      </w:pPr>
      <w:r w:rsidRPr="00746F54">
        <w:rPr>
          <w:rFonts w:ascii="Arial" w:hAnsi="Arial" w:cs="Arial"/>
        </w:rPr>
        <w:t xml:space="preserve"> </w:t>
      </w:r>
      <w:bookmarkStart w:id="228" w:name="_Toc211337969"/>
      <w:bookmarkStart w:id="229" w:name="_Toc228963737"/>
      <w:r w:rsidRPr="00746F54">
        <w:rPr>
          <w:rFonts w:ascii="Arial" w:hAnsi="Arial" w:cs="Arial"/>
        </w:rPr>
        <w:t>CAISO Forecast of BAA Demand and Variable Energy Resource Forecast for EDAM Entities</w:t>
      </w:r>
      <w:bookmarkEnd w:id="228"/>
      <w:bookmarkEnd w:id="229"/>
    </w:p>
    <w:p w14:paraId="144BCE42" w14:textId="4C4F9A0D" w:rsidR="0004571C" w:rsidRPr="00746F54" w:rsidRDefault="0004571C" w:rsidP="0078756A">
      <w:pPr>
        <w:pStyle w:val="BPM"/>
        <w:spacing w:after="0"/>
        <w:rPr>
          <w:rFonts w:ascii="Arial" w:hAnsi="Arial"/>
          <w:u w:val="single"/>
        </w:rPr>
      </w:pPr>
      <w:r w:rsidRPr="00746F54">
        <w:rPr>
          <w:rFonts w:ascii="Arial" w:hAnsi="Arial"/>
          <w:u w:val="single"/>
        </w:rPr>
        <w:t>Reference tariff section 33.31.4</w:t>
      </w:r>
    </w:p>
    <w:p w14:paraId="122C691B" w14:textId="77777777" w:rsidR="0004571C" w:rsidRPr="00746F54" w:rsidRDefault="0004571C" w:rsidP="0078756A">
      <w:pPr>
        <w:pStyle w:val="BPM"/>
        <w:spacing w:after="0"/>
        <w:rPr>
          <w:rFonts w:ascii="Arial" w:hAnsi="Arial"/>
          <w:u w:val="single"/>
        </w:rPr>
      </w:pPr>
    </w:p>
    <w:p w14:paraId="0076DE29" w14:textId="6A728900" w:rsidR="0078756A" w:rsidRPr="00746F54" w:rsidRDefault="0078756A" w:rsidP="00636D40">
      <w:pPr>
        <w:pStyle w:val="BPM"/>
        <w:spacing w:after="0"/>
        <w:rPr>
          <w:rFonts w:ascii="Arial" w:hAnsi="Arial"/>
        </w:rPr>
      </w:pPr>
      <w:r w:rsidRPr="00746F54">
        <w:rPr>
          <w:rFonts w:ascii="Arial" w:hAnsi="Arial"/>
        </w:rPr>
        <w:t>The market operator will publish the BAA Demand Forecast and Variable Energy Resources Forecast for each EDAM entity at 06:00 and 09:00 with additional publishing, if necessary.  Should additional time being required to ensure a complete and accurate forecasting, the market operator may manually hold the 09:00 advisory DA RSE execution and send an MNS message.</w:t>
      </w:r>
    </w:p>
    <w:p w14:paraId="6B357F0B" w14:textId="46FEC5BA" w:rsidR="0078756A" w:rsidRPr="003F76EC" w:rsidRDefault="000D11B2" w:rsidP="0078756A">
      <w:pPr>
        <w:pStyle w:val="Heading3"/>
        <w:rPr>
          <w:rFonts w:ascii="Arial" w:hAnsi="Arial" w:cs="Arial"/>
        </w:rPr>
      </w:pPr>
      <w:bookmarkStart w:id="230" w:name="_Toc211337970"/>
      <w:r w:rsidRPr="003F76EC">
        <w:rPr>
          <w:rFonts w:ascii="Arial" w:hAnsi="Arial" w:cs="Arial"/>
        </w:rPr>
        <w:t xml:space="preserve">Demand </w:t>
      </w:r>
      <w:r w:rsidR="0078756A" w:rsidRPr="003F76EC">
        <w:rPr>
          <w:rFonts w:ascii="Arial" w:hAnsi="Arial" w:cs="Arial"/>
        </w:rPr>
        <w:t>Forecast</w:t>
      </w:r>
      <w:bookmarkEnd w:id="230"/>
      <w:r w:rsidR="0078756A" w:rsidRPr="003F76EC">
        <w:rPr>
          <w:rFonts w:ascii="Arial" w:hAnsi="Arial" w:cs="Arial"/>
        </w:rPr>
        <w:t xml:space="preserve"> </w:t>
      </w:r>
    </w:p>
    <w:p w14:paraId="7E57B304" w14:textId="77777777" w:rsidR="0078756A" w:rsidRPr="003F76EC" w:rsidRDefault="0078756A" w:rsidP="0078756A">
      <w:pPr>
        <w:pStyle w:val="ParaText"/>
        <w:rPr>
          <w:rFonts w:ascii="Arial" w:hAnsi="Arial" w:cs="Arial"/>
        </w:rPr>
      </w:pPr>
      <w:r w:rsidRPr="003F76EC">
        <w:rPr>
          <w:rFonts w:ascii="Arial" w:hAnsi="Arial" w:cs="Arial"/>
        </w:rPr>
        <w:t xml:space="preserve">The CAISO provides a demand forecast for each EDAM entity unless the EDAM entity elects to submit its own demand forecast.  Please refer to section 11.6 in the Energy Imbalance Market BPM for detail on the CAISO Forecast of BAA Demand. The forecast option selected by the EDAM entity will be the same forecast option that is utilized in the WEIM per Section 33 of the CAISO Tariff. </w:t>
      </w:r>
    </w:p>
    <w:p w14:paraId="057BAD19" w14:textId="6EB02D63" w:rsidR="0078756A" w:rsidRPr="003F76EC" w:rsidRDefault="0078756A" w:rsidP="0078756A">
      <w:pPr>
        <w:pStyle w:val="ParaText"/>
        <w:rPr>
          <w:rFonts w:ascii="Arial" w:hAnsi="Arial" w:cs="Arial"/>
        </w:rPr>
      </w:pPr>
      <w:r w:rsidRPr="003F76EC">
        <w:rPr>
          <w:rFonts w:ascii="Arial" w:hAnsi="Arial" w:cs="Arial"/>
        </w:rPr>
        <w:t xml:space="preserve">If an EDAM entity elects to submit its own demand forecast, the forecast granularity must be produced in </w:t>
      </w:r>
      <w:r w:rsidR="003F76EC" w:rsidRPr="003F76EC">
        <w:rPr>
          <w:rFonts w:ascii="Arial" w:hAnsi="Arial" w:cs="Arial"/>
        </w:rPr>
        <w:t>five-minute</w:t>
      </w:r>
      <w:r w:rsidRPr="003F76EC">
        <w:rPr>
          <w:rFonts w:ascii="Arial" w:hAnsi="Arial" w:cs="Arial"/>
        </w:rPr>
        <w:t xml:space="preserve"> intervals for the current day through the 7 Day-Ahead horizon, and be updated every five minutes. The entity’s forecast of BAA demand must be automatically submitted to the CAISO forecast system. </w:t>
      </w:r>
    </w:p>
    <w:p w14:paraId="74AC494F" w14:textId="552DABF0" w:rsidR="0078756A" w:rsidRPr="003F76EC" w:rsidRDefault="0078756A" w:rsidP="0078756A">
      <w:pPr>
        <w:pStyle w:val="ParaText"/>
        <w:rPr>
          <w:rFonts w:ascii="Arial" w:hAnsi="Arial" w:cs="Arial"/>
        </w:rPr>
      </w:pPr>
      <w:r w:rsidRPr="003F76EC">
        <w:rPr>
          <w:rFonts w:ascii="Arial" w:hAnsi="Arial" w:cs="Arial"/>
        </w:rPr>
        <w:t xml:space="preserve">Non-participating Demand Response (DR) (e.g., Demand Response in an EDAM entity BAA that are not represented by </w:t>
      </w:r>
      <w:r w:rsidR="000D11B2" w:rsidRPr="003F76EC">
        <w:rPr>
          <w:rFonts w:ascii="Arial" w:hAnsi="Arial" w:cs="Arial"/>
        </w:rPr>
        <w:t xml:space="preserve">supply-side </w:t>
      </w:r>
      <w:r w:rsidRPr="003F76EC">
        <w:rPr>
          <w:rFonts w:ascii="Arial" w:hAnsi="Arial" w:cs="Arial"/>
        </w:rPr>
        <w:t xml:space="preserve">PDR or RDRR models) may be accounted for in the </w:t>
      </w:r>
      <w:r w:rsidRPr="003F76EC">
        <w:rPr>
          <w:rFonts w:ascii="Arial" w:hAnsi="Arial" w:cs="Arial"/>
        </w:rPr>
        <w:lastRenderedPageBreak/>
        <w:t xml:space="preserve">formation of the CAISO Forecast of BAA Demand as a load reduction if received prior to submission deadline, as further explained in </w:t>
      </w:r>
      <w:r w:rsidR="0004571C" w:rsidRPr="003F76EC">
        <w:rPr>
          <w:rFonts w:ascii="Arial" w:hAnsi="Arial" w:cs="Arial"/>
        </w:rPr>
        <w:t>s</w:t>
      </w:r>
      <w:r w:rsidRPr="003F76EC">
        <w:rPr>
          <w:rFonts w:ascii="Arial" w:hAnsi="Arial" w:cs="Arial"/>
        </w:rPr>
        <w:t xml:space="preserve">ection </w:t>
      </w:r>
      <w:r w:rsidR="00632B9D" w:rsidRPr="003F76EC">
        <w:rPr>
          <w:rFonts w:ascii="Arial" w:hAnsi="Arial" w:cs="Arial"/>
        </w:rPr>
        <w:t>22.6.3</w:t>
      </w:r>
      <w:r w:rsidRPr="003F76EC">
        <w:rPr>
          <w:rFonts w:ascii="Arial" w:hAnsi="Arial" w:cs="Arial"/>
        </w:rPr>
        <w:t>.</w:t>
      </w:r>
      <w:r w:rsidR="0004571C" w:rsidRPr="003F76EC">
        <w:rPr>
          <w:rFonts w:ascii="Arial" w:hAnsi="Arial" w:cs="Arial"/>
        </w:rPr>
        <w:t xml:space="preserve"> of this BPM.</w:t>
      </w:r>
    </w:p>
    <w:p w14:paraId="10854281" w14:textId="77777777" w:rsidR="0078756A" w:rsidRPr="003F76EC" w:rsidRDefault="0078756A" w:rsidP="0078756A">
      <w:pPr>
        <w:pStyle w:val="Heading3"/>
        <w:rPr>
          <w:rFonts w:ascii="Arial" w:hAnsi="Arial" w:cs="Arial"/>
        </w:rPr>
      </w:pPr>
      <w:bookmarkStart w:id="231" w:name="_Toc211337971"/>
      <w:r w:rsidRPr="003F76EC">
        <w:rPr>
          <w:rFonts w:ascii="Arial" w:hAnsi="Arial" w:cs="Arial"/>
        </w:rPr>
        <w:t>VER Forecast</w:t>
      </w:r>
      <w:bookmarkEnd w:id="231"/>
    </w:p>
    <w:p w14:paraId="63550A6E" w14:textId="77777777" w:rsidR="0078756A" w:rsidRPr="00746F54" w:rsidRDefault="0078756A" w:rsidP="0078756A">
      <w:pPr>
        <w:pStyle w:val="ParaText"/>
        <w:rPr>
          <w:rFonts w:ascii="Arial" w:hAnsi="Arial" w:cs="Arial"/>
        </w:rPr>
      </w:pPr>
      <w:r w:rsidRPr="00746F54">
        <w:rPr>
          <w:rFonts w:ascii="Arial" w:hAnsi="Arial" w:cs="Arial"/>
        </w:rPr>
        <w:t>EDAM Variable Energy Resources, both participating and non-participating, may provide the market operator with an independent third-party forecast of energy output or utilize the CAISO forecasting service. Please refer to section 11.7 in the Energy Imbalance Market BPM for detail on VER Forecasting. The forecast option selected by the EDAM entity will be the same forecast option that is utilized in the WEIM.</w:t>
      </w:r>
    </w:p>
    <w:p w14:paraId="507E074F" w14:textId="77777777" w:rsidR="0078756A" w:rsidRPr="00746F54" w:rsidRDefault="0078756A" w:rsidP="0078756A">
      <w:pPr>
        <w:pStyle w:val="ParaText"/>
        <w:spacing w:line="360" w:lineRule="auto"/>
        <w:rPr>
          <w:rFonts w:ascii="Arial" w:hAnsi="Arial" w:cs="Arial"/>
        </w:rPr>
      </w:pPr>
      <w:r w:rsidRPr="00746F54">
        <w:rPr>
          <w:rFonts w:ascii="Arial" w:hAnsi="Arial" w:cs="Arial"/>
        </w:rPr>
        <w:t xml:space="preserve">The EDAM Variable Energy Resource forecast granularity must be produced in hourly intervals for the Day-Ahead through 7 Day-Ahead horizon and be updated by 06:00 and 09:00. The forecast of EDAM Variable Energy Resources must be automatically submitted to the CAISO forecast system. </w:t>
      </w:r>
    </w:p>
    <w:p w14:paraId="2485F94C" w14:textId="77777777" w:rsidR="008F7E1E" w:rsidRPr="00746F54" w:rsidRDefault="008F7E1E" w:rsidP="008F7E1E">
      <w:pPr>
        <w:pStyle w:val="Heading3"/>
        <w:rPr>
          <w:rFonts w:ascii="Arial" w:hAnsi="Arial" w:cs="Arial"/>
        </w:rPr>
      </w:pPr>
      <w:bookmarkStart w:id="232" w:name="_Toc211337972"/>
      <w:r w:rsidRPr="00746F54">
        <w:rPr>
          <w:rFonts w:ascii="Arial" w:hAnsi="Arial" w:cs="Arial"/>
        </w:rPr>
        <w:t>Adjustments to CAISO Forecast of BAA Demand for Load Modification and Demand Response Programs</w:t>
      </w:r>
      <w:bookmarkEnd w:id="232"/>
    </w:p>
    <w:p w14:paraId="6C9A97E8" w14:textId="77777777" w:rsidR="00E67016" w:rsidRPr="00E67016" w:rsidRDefault="00E67016" w:rsidP="00E67016">
      <w:pPr>
        <w:pStyle w:val="ParaText"/>
        <w:rPr>
          <w:rFonts w:ascii="Arial" w:hAnsi="Arial" w:cs="Arial"/>
          <w:u w:val="single"/>
        </w:rPr>
      </w:pPr>
      <w:r w:rsidRPr="00E67016">
        <w:rPr>
          <w:rFonts w:ascii="Arial" w:hAnsi="Arial" w:cs="Arial"/>
          <w:u w:val="single"/>
        </w:rPr>
        <w:t>Reference Section 33.31.4.1</w:t>
      </w:r>
    </w:p>
    <w:p w14:paraId="19D53FD3" w14:textId="5474303C" w:rsidR="00E67016" w:rsidRPr="00E67016" w:rsidRDefault="00E67016" w:rsidP="00E67016">
      <w:pPr>
        <w:pStyle w:val="ParaText"/>
        <w:rPr>
          <w:rFonts w:ascii="Arial" w:hAnsi="Arial" w:cs="Arial"/>
        </w:rPr>
      </w:pPr>
      <w:r w:rsidRPr="00E67016">
        <w:rPr>
          <w:rFonts w:ascii="Arial" w:hAnsi="Arial" w:cs="Arial"/>
        </w:rPr>
        <w:t xml:space="preserve">To utilize the adjustment process, each EDAM entity must submit the required attestation certifying that the entity is adjusting for quantities that correspond to the increases/decreases in demand provided by the demand response and/or load modification programs.  Upon receipt of the executed attestation, the market operator will verify that the DR inclusion flag is enabled to allow the entity to submit non-participating demand response and/or load modification schedules. For avoidance of doubt, EDAM entities that have executed the WEIM attestation must also execute the EDAM attestation.  The required attestation is provided in </w:t>
      </w:r>
      <w:r>
        <w:rPr>
          <w:rFonts w:ascii="Arial" w:hAnsi="Arial" w:cs="Arial"/>
        </w:rPr>
        <w:t>Appendix 3</w:t>
      </w:r>
      <w:r w:rsidRPr="00E67016">
        <w:rPr>
          <w:rFonts w:ascii="Arial" w:hAnsi="Arial" w:cs="Arial"/>
        </w:rPr>
        <w:t xml:space="preserve"> of this Business Practice Manual.  </w:t>
      </w:r>
    </w:p>
    <w:p w14:paraId="24FE4982" w14:textId="77777777" w:rsidR="00E67016" w:rsidRPr="00E67016" w:rsidRDefault="00E67016" w:rsidP="00E67016">
      <w:pPr>
        <w:pStyle w:val="ParaText"/>
        <w:rPr>
          <w:rFonts w:ascii="Arial" w:hAnsi="Arial" w:cs="Arial"/>
        </w:rPr>
      </w:pPr>
      <w:r w:rsidRPr="00E67016">
        <w:rPr>
          <w:rFonts w:ascii="Arial" w:hAnsi="Arial" w:cs="Arial"/>
        </w:rPr>
        <w:t xml:space="preserve">EDAM entities can submit DR schedules via an API interface for planned non-participating load modification and/or demand-response events (DR schedules). Until </w:t>
      </w:r>
      <w:proofErr w:type="gramStart"/>
      <w:r w:rsidRPr="00E67016">
        <w:rPr>
          <w:rFonts w:ascii="Arial" w:hAnsi="Arial" w:cs="Arial"/>
        </w:rPr>
        <w:t>such time as the</w:t>
      </w:r>
      <w:proofErr w:type="gramEnd"/>
      <w:r w:rsidRPr="00E67016">
        <w:rPr>
          <w:rFonts w:ascii="Arial" w:hAnsi="Arial" w:cs="Arial"/>
        </w:rPr>
        <w:t xml:space="preserve"> API interface is enabled, entities should communicate the demand response adjustments by following the process set forth for WEIM demand response adjustments as shown in Section 18 of the Demand Response Business Practice Manual.  The DR schedule should be submitted prior to 07:00 to facilitate automated inclusion into the day-ahead CAISO Forecast of BAA demand. DR schedules submitted after 07:00 but prior to 09:00 will be included where feasible, with adjustments of the day-ahead CAISO Forecast of BAA demand performed on a case-by-case basis. DR schedules received after 09:00 will not be included in the published day-ahead CAISO Forecast of BAA demand.</w:t>
      </w:r>
    </w:p>
    <w:p w14:paraId="4A56B37F" w14:textId="18F26F82" w:rsidR="00E67016" w:rsidRPr="00E67016" w:rsidRDefault="00E67016" w:rsidP="00E67016">
      <w:pPr>
        <w:pStyle w:val="ParaText"/>
        <w:rPr>
          <w:rFonts w:ascii="Arial" w:hAnsi="Arial" w:cs="Arial"/>
        </w:rPr>
      </w:pPr>
      <w:r w:rsidRPr="00E67016">
        <w:rPr>
          <w:rFonts w:ascii="Arial" w:hAnsi="Arial" w:cs="Arial"/>
        </w:rPr>
        <w:lastRenderedPageBreak/>
        <w:t xml:space="preserve">DR schedules should not include RDRR but may include schedules reflective of both increases in load that capture expected demand response program actions (e.g., “pre-cooling”) as well as decreases that reflect the event itself (e.g., “thermostat increases”). Increases in demand should be reported as positive values and decreases in demand as negative values in the DR schedule.  DR schedules must be submitted by the EDAM entity at a 5-minute resolution. If a 15-minute schedule is desired, participants shall enter the same schedule for each 5-minutes within the corresponding 15-minute interval. If an hourly schedule is desired, participants shall enter same schedule for each 5-minutes within the corresponding hour. </w:t>
      </w:r>
    </w:p>
    <w:p w14:paraId="7B30EA65" w14:textId="77777777" w:rsidR="00E67016" w:rsidRPr="00E67016" w:rsidRDefault="00E67016" w:rsidP="00E67016">
      <w:pPr>
        <w:pStyle w:val="ParaText"/>
        <w:rPr>
          <w:rFonts w:ascii="Arial" w:hAnsi="Arial" w:cs="Arial"/>
        </w:rPr>
      </w:pPr>
      <w:r w:rsidRPr="00E67016">
        <w:rPr>
          <w:rFonts w:ascii="Arial" w:hAnsi="Arial" w:cs="Arial"/>
        </w:rPr>
        <w:t xml:space="preserve">Entities will be notified of either successful, partially successful, or failed submission of DR payloads. Successful and partially successful submissions of DR schedules will automatically be incorporated into the EDAM entity’s day-ahead CAISO Forecast of BAA Demand in accordance with their DR schedule. For failed and partially successful submissions, entities will receive an error code describing the validation issue of the DR schedule. </w:t>
      </w:r>
    </w:p>
    <w:p w14:paraId="1E9D2E0A" w14:textId="77777777" w:rsidR="00E67016" w:rsidRPr="00E67016" w:rsidRDefault="00E67016" w:rsidP="00E67016">
      <w:pPr>
        <w:pStyle w:val="ParaText"/>
        <w:rPr>
          <w:rFonts w:ascii="Arial" w:hAnsi="Arial" w:cs="Arial"/>
        </w:rPr>
      </w:pPr>
      <w:r w:rsidRPr="00E67016">
        <w:rPr>
          <w:rFonts w:ascii="Arial" w:hAnsi="Arial" w:cs="Arial"/>
        </w:rPr>
        <w:t xml:space="preserve">Upon successful DR schedule submission, market operator will be notified of the DR event and will verify that the schedule was received by ALFS. If the market operator identifies an issue with the processed DR schedule in ALFS, the market operator may override the schedule to zero (0) and may request a resubmittal from the EDAM entity.  Once verified, the day-ahead CAISO Forecast of BAA Demand will reflect the inclusion of the DR schedule in the Day-Ahead RSE UI.    </w:t>
      </w:r>
    </w:p>
    <w:p w14:paraId="128AB283" w14:textId="0EFBE72A" w:rsidR="008F7E1E" w:rsidRPr="00746F54" w:rsidRDefault="00E67016" w:rsidP="00E67016">
      <w:pPr>
        <w:pStyle w:val="ParaText"/>
        <w:rPr>
          <w:rFonts w:ascii="Arial" w:hAnsi="Arial" w:cs="Arial"/>
        </w:rPr>
      </w:pPr>
      <w:r w:rsidRPr="00E67016">
        <w:rPr>
          <w:rFonts w:ascii="Arial" w:hAnsi="Arial" w:cs="Arial"/>
        </w:rPr>
        <w:t xml:space="preserve">If an entity elects to self-provide demand forecast, demand response adjustments should be accounted for within the EDAM entity demand forecast submission. </w:t>
      </w:r>
      <w:r w:rsidRPr="00E67016">
        <w:rPr>
          <w:rFonts w:ascii="Arial" w:hAnsi="Arial" w:cs="Arial"/>
          <w:u w:val="single"/>
        </w:rPr>
        <w:t xml:space="preserve"> </w:t>
      </w:r>
      <w:r w:rsidR="008F7E1E" w:rsidRPr="00746F54">
        <w:rPr>
          <w:rFonts w:ascii="Arial" w:hAnsi="Arial" w:cs="Arial"/>
        </w:rPr>
        <w:t xml:space="preserve"> </w:t>
      </w:r>
    </w:p>
    <w:p w14:paraId="52054CFE" w14:textId="01882457" w:rsidR="008749BD" w:rsidRPr="00746F54" w:rsidRDefault="008749BD" w:rsidP="008749BD">
      <w:pPr>
        <w:pStyle w:val="Heading2"/>
        <w:rPr>
          <w:rFonts w:ascii="Arial" w:hAnsi="Arial" w:cs="Arial"/>
        </w:rPr>
      </w:pPr>
      <w:bookmarkStart w:id="233" w:name="_Toc211337973"/>
      <w:bookmarkStart w:id="234" w:name="_Toc228963738"/>
      <w:r w:rsidRPr="00746F54">
        <w:rPr>
          <w:rFonts w:ascii="Arial" w:hAnsi="Arial" w:cs="Arial"/>
        </w:rPr>
        <w:t>Reserve Sharing Groups</w:t>
      </w:r>
      <w:bookmarkEnd w:id="233"/>
      <w:bookmarkEnd w:id="234"/>
    </w:p>
    <w:p w14:paraId="77F48490" w14:textId="0A861EA7" w:rsidR="008749BD" w:rsidRPr="00746F54" w:rsidRDefault="00417E1C" w:rsidP="008749BD">
      <w:pPr>
        <w:pStyle w:val="ParaText"/>
        <w:rPr>
          <w:rFonts w:ascii="Arial" w:hAnsi="Arial" w:cs="Arial"/>
          <w:u w:val="single"/>
        </w:rPr>
      </w:pPr>
      <w:r w:rsidRPr="00746F54">
        <w:rPr>
          <w:rFonts w:ascii="Arial" w:hAnsi="Arial" w:cs="Arial"/>
          <w:u w:val="single"/>
        </w:rPr>
        <w:t>Reference tariff section 33.31.5</w:t>
      </w:r>
    </w:p>
    <w:p w14:paraId="1CDBB3C8" w14:textId="3389B108" w:rsidR="00417E1C" w:rsidRPr="00746F54" w:rsidRDefault="00E4601F" w:rsidP="008749BD">
      <w:pPr>
        <w:pStyle w:val="ParaText"/>
        <w:rPr>
          <w:rFonts w:ascii="Arial" w:hAnsi="Arial" w:cs="Arial"/>
        </w:rPr>
      </w:pPr>
      <w:r w:rsidRPr="00746F54">
        <w:rPr>
          <w:rFonts w:ascii="Arial" w:hAnsi="Arial" w:cs="Arial"/>
        </w:rPr>
        <w:t xml:space="preserve">EDAM will accommodate ancillary service requirements satisfied through participation in the reserve sharing groups.  Consistent with existing practices that may be in place for delivery of reserves under applicable tariffs or reserve sharing groups, EDAM entity balancing authorities that participate in a reserve sharing group must identify the transmission that will be utilized to ensure delivery of the shown reserve capacity.  </w:t>
      </w:r>
    </w:p>
    <w:p w14:paraId="34EB0117" w14:textId="605F5C41" w:rsidR="00E4601F" w:rsidRPr="00746F54" w:rsidRDefault="00E4601F" w:rsidP="00636D40">
      <w:pPr>
        <w:pStyle w:val="ParaText"/>
        <w:rPr>
          <w:rFonts w:ascii="Arial" w:hAnsi="Arial" w:cs="Arial"/>
        </w:rPr>
      </w:pPr>
      <w:r w:rsidRPr="00746F54">
        <w:rPr>
          <w:rFonts w:ascii="Arial" w:hAnsi="Arial" w:cs="Arial"/>
        </w:rPr>
        <w:t>The transmission capacity identified as supporting reserve sharing groups will not be available to support EDAM transfers to ensure that the reserve obligations are deliverable in real-time.</w:t>
      </w:r>
    </w:p>
    <w:p w14:paraId="398BF558" w14:textId="631838C9" w:rsidR="00E4601F" w:rsidRPr="00746F54" w:rsidRDefault="00E4601F" w:rsidP="00E4601F">
      <w:pPr>
        <w:pStyle w:val="Heading2"/>
        <w:rPr>
          <w:rFonts w:ascii="Arial" w:hAnsi="Arial" w:cs="Arial"/>
        </w:rPr>
      </w:pPr>
      <w:bookmarkStart w:id="235" w:name="_Toc211337974"/>
      <w:bookmarkStart w:id="236" w:name="_Toc228963739"/>
      <w:r w:rsidRPr="00746F54">
        <w:rPr>
          <w:rFonts w:ascii="Arial" w:hAnsi="Arial" w:cs="Arial"/>
        </w:rPr>
        <w:t>Interchange Schedules</w:t>
      </w:r>
      <w:bookmarkEnd w:id="235"/>
      <w:bookmarkEnd w:id="236"/>
    </w:p>
    <w:p w14:paraId="2A67A7AE" w14:textId="692C1FB8" w:rsidR="00DC45F5" w:rsidRPr="00746F54" w:rsidRDefault="00915104" w:rsidP="00DC45F5">
      <w:pPr>
        <w:spacing w:after="0" w:line="360" w:lineRule="auto"/>
        <w:rPr>
          <w:rFonts w:ascii="Arial" w:hAnsi="Arial" w:cs="Arial"/>
          <w:u w:val="single"/>
        </w:rPr>
      </w:pPr>
      <w:r w:rsidRPr="00746F54">
        <w:rPr>
          <w:rFonts w:ascii="Arial" w:hAnsi="Arial" w:cs="Arial"/>
          <w:u w:val="single"/>
        </w:rPr>
        <w:t>Reference tariff section 33.31.6</w:t>
      </w:r>
    </w:p>
    <w:p w14:paraId="111B59A7" w14:textId="77777777" w:rsidR="00915104" w:rsidRPr="00746F54" w:rsidRDefault="00991088" w:rsidP="005468C3">
      <w:pPr>
        <w:spacing w:after="0" w:line="360" w:lineRule="auto"/>
        <w:rPr>
          <w:rFonts w:ascii="Arial" w:hAnsi="Arial" w:cs="Arial"/>
        </w:rPr>
      </w:pPr>
      <w:r w:rsidRPr="00746F54">
        <w:rPr>
          <w:rFonts w:ascii="Arial" w:hAnsi="Arial" w:cs="Arial"/>
        </w:rPr>
        <w:lastRenderedPageBreak/>
        <w:t xml:space="preserve">Interchange Schedules are Energy Schedules where electric power is transferred between Balancing Authority Areas and </w:t>
      </w:r>
      <w:r w:rsidR="00E5260D" w:rsidRPr="00746F54">
        <w:rPr>
          <w:rFonts w:ascii="Arial" w:hAnsi="Arial" w:cs="Arial"/>
        </w:rPr>
        <w:t>is</w:t>
      </w:r>
      <w:r w:rsidR="001D228B" w:rsidRPr="00746F54">
        <w:rPr>
          <w:rFonts w:ascii="Arial" w:hAnsi="Arial" w:cs="Arial"/>
        </w:rPr>
        <w:t xml:space="preserve"> </w:t>
      </w:r>
      <w:r w:rsidRPr="00746F54">
        <w:rPr>
          <w:rFonts w:ascii="Arial" w:hAnsi="Arial" w:cs="Arial"/>
        </w:rPr>
        <w:t>coordinat</w:t>
      </w:r>
      <w:r w:rsidR="005468C3" w:rsidRPr="00746F54">
        <w:rPr>
          <w:rFonts w:ascii="Arial" w:hAnsi="Arial" w:cs="Arial"/>
        </w:rPr>
        <w:t xml:space="preserve">ed </w:t>
      </w:r>
      <w:r w:rsidR="00C23DC9" w:rsidRPr="00746F54">
        <w:rPr>
          <w:rFonts w:ascii="Arial" w:hAnsi="Arial" w:cs="Arial"/>
        </w:rPr>
        <w:t xml:space="preserve">between </w:t>
      </w:r>
      <w:r w:rsidR="006071D2" w:rsidRPr="00746F54">
        <w:rPr>
          <w:rFonts w:ascii="Arial" w:hAnsi="Arial" w:cs="Arial"/>
        </w:rPr>
        <w:t xml:space="preserve">two or more </w:t>
      </w:r>
      <w:r w:rsidRPr="00746F54">
        <w:rPr>
          <w:rFonts w:ascii="Arial" w:hAnsi="Arial" w:cs="Arial"/>
        </w:rPr>
        <w:t>entities</w:t>
      </w:r>
      <w:r w:rsidR="005468C3" w:rsidRPr="00746F54">
        <w:rPr>
          <w:rFonts w:ascii="Arial" w:hAnsi="Arial" w:cs="Arial"/>
        </w:rPr>
        <w:t xml:space="preserve"> in Real Time.</w:t>
      </w:r>
      <w:r w:rsidRPr="00746F54">
        <w:rPr>
          <w:rFonts w:ascii="Arial" w:hAnsi="Arial" w:cs="Arial"/>
        </w:rPr>
        <w:t xml:space="preserve">  </w:t>
      </w:r>
      <w:r w:rsidR="005468C3" w:rsidRPr="00746F54">
        <w:rPr>
          <w:rFonts w:ascii="Arial" w:hAnsi="Arial" w:cs="Arial"/>
        </w:rPr>
        <w:t>EDAM entities communicate information pertaining to each Interchange transaction via E-Tag specifications maintained by the NAESB.</w:t>
      </w:r>
    </w:p>
    <w:p w14:paraId="22A6FB78" w14:textId="32B2B277" w:rsidR="00915104" w:rsidRPr="00746F54" w:rsidRDefault="00915104" w:rsidP="005468C3">
      <w:pPr>
        <w:spacing w:after="0" w:line="360" w:lineRule="auto"/>
        <w:rPr>
          <w:rFonts w:ascii="Arial" w:hAnsi="Arial" w:cs="Arial"/>
        </w:rPr>
      </w:pPr>
      <w:r w:rsidRPr="00746F54">
        <w:rPr>
          <w:rFonts w:ascii="Arial" w:hAnsi="Arial" w:cs="Arial"/>
        </w:rPr>
        <w:t xml:space="preserve">After the Day-Ahead Market results are published, EDAM Entity Scheduling Coordinators must submit interchange schedules with other balancing authority areas at the respective EDAM </w:t>
      </w:r>
      <w:proofErr w:type="gramStart"/>
      <w:r w:rsidRPr="00746F54">
        <w:rPr>
          <w:rFonts w:ascii="Arial" w:hAnsi="Arial" w:cs="Arial"/>
        </w:rPr>
        <w:t>intertie</w:t>
      </w:r>
      <w:proofErr w:type="gramEnd"/>
      <w:r w:rsidRPr="00746F54">
        <w:rPr>
          <w:rFonts w:ascii="Arial" w:hAnsi="Arial" w:cs="Arial"/>
        </w:rPr>
        <w:t xml:space="preserve"> and must update the interchange schedules with any adjustments as applicable.  </w:t>
      </w:r>
    </w:p>
    <w:p w14:paraId="1D2C3282" w14:textId="77777777" w:rsidR="008114DA" w:rsidRPr="00746F54" w:rsidRDefault="008114DA" w:rsidP="005468C3">
      <w:pPr>
        <w:spacing w:after="0" w:line="360" w:lineRule="auto"/>
        <w:rPr>
          <w:rFonts w:ascii="Arial" w:hAnsi="Arial" w:cs="Arial"/>
        </w:rPr>
      </w:pPr>
      <w:r w:rsidRPr="00746F54">
        <w:rPr>
          <w:rFonts w:ascii="Arial" w:hAnsi="Arial" w:cs="Arial"/>
        </w:rPr>
        <w:t xml:space="preserve">For each EDAM intertie bid that clears the IFM and results in a 15-minute intertie schedule, the EDAM entity scheduling coordinator must submit an e-tag with corresponding hourly transmission profile and 15-minute energy profile.  These e-tags must reflect the point of receipt and point of delivery and must be submitted by 20 minutes prior to the start of the operating </w:t>
      </w:r>
      <w:proofErr w:type="gramStart"/>
      <w:r w:rsidRPr="00746F54">
        <w:rPr>
          <w:rFonts w:ascii="Arial" w:hAnsi="Arial" w:cs="Arial"/>
        </w:rPr>
        <w:t>hour</w:t>
      </w:r>
      <w:proofErr w:type="gramEnd"/>
      <w:r w:rsidRPr="00746F54">
        <w:rPr>
          <w:rFonts w:ascii="Arial" w:hAnsi="Arial" w:cs="Arial"/>
        </w:rPr>
        <w:t xml:space="preserve">.  </w:t>
      </w:r>
    </w:p>
    <w:p w14:paraId="6A595F24" w14:textId="679012C0" w:rsidR="008114DA" w:rsidRPr="00746F54" w:rsidRDefault="008114DA" w:rsidP="005468C3">
      <w:pPr>
        <w:spacing w:after="0" w:line="360" w:lineRule="auto"/>
        <w:rPr>
          <w:rFonts w:ascii="Arial" w:hAnsi="Arial" w:cs="Arial"/>
        </w:rPr>
      </w:pPr>
      <w:r w:rsidRPr="00746F54">
        <w:rPr>
          <w:rFonts w:ascii="Arial" w:hAnsi="Arial" w:cs="Arial"/>
        </w:rPr>
        <w:t xml:space="preserve">For additional information please refer to tariff section 33.31.6 and the </w:t>
      </w:r>
      <w:r w:rsidRPr="00746F54">
        <w:rPr>
          <w:rFonts w:ascii="Arial" w:hAnsi="Arial" w:cs="Arial"/>
          <w:i/>
          <w:iCs/>
        </w:rPr>
        <w:t xml:space="preserve">Market Operations </w:t>
      </w:r>
      <w:r w:rsidRPr="00746F54">
        <w:rPr>
          <w:rFonts w:ascii="Arial" w:hAnsi="Arial" w:cs="Arial"/>
        </w:rPr>
        <w:t>Business Practice Manual on e-tagging requirements.</w:t>
      </w:r>
    </w:p>
    <w:p w14:paraId="61E35183" w14:textId="5CC9C9AE" w:rsidR="00721A81" w:rsidRPr="00746F54" w:rsidRDefault="00721A81" w:rsidP="00721A81">
      <w:pPr>
        <w:spacing w:after="0" w:line="360" w:lineRule="auto"/>
        <w:rPr>
          <w:rFonts w:ascii="Arial" w:hAnsi="Arial" w:cs="Arial"/>
          <w:u w:val="single"/>
        </w:rPr>
      </w:pPr>
    </w:p>
    <w:p w14:paraId="41F3E971" w14:textId="6A8297B2" w:rsidR="00E4601F" w:rsidRPr="00746F54" w:rsidRDefault="00E4601F" w:rsidP="00921E65">
      <w:pPr>
        <w:pStyle w:val="Heading1"/>
        <w:rPr>
          <w:rFonts w:ascii="Arial" w:hAnsi="Arial" w:cs="Arial"/>
        </w:rPr>
      </w:pPr>
      <w:bookmarkStart w:id="237" w:name="_Toc211337975"/>
      <w:bookmarkStart w:id="238" w:name="_Toc228963740"/>
      <w:r w:rsidRPr="00746F54">
        <w:rPr>
          <w:rFonts w:ascii="Arial" w:hAnsi="Arial" w:cs="Arial"/>
        </w:rPr>
        <w:t>Greenhouse Gas (GHG) Accounting</w:t>
      </w:r>
      <w:bookmarkEnd w:id="237"/>
      <w:bookmarkEnd w:id="238"/>
    </w:p>
    <w:p w14:paraId="454F6B1E" w14:textId="77777777" w:rsidR="00E4601F" w:rsidRPr="00746F54" w:rsidRDefault="00E4601F" w:rsidP="00E4601F">
      <w:pPr>
        <w:spacing w:line="300" w:lineRule="auto"/>
        <w:rPr>
          <w:rFonts w:ascii="Arial" w:hAnsi="Arial" w:cs="Arial"/>
          <w:u w:val="single"/>
        </w:rPr>
      </w:pPr>
      <w:r w:rsidRPr="00746F54">
        <w:rPr>
          <w:rFonts w:ascii="Arial" w:hAnsi="Arial" w:cs="Arial"/>
          <w:u w:val="single"/>
        </w:rPr>
        <w:t>Reference Tariff Section 33.32</w:t>
      </w:r>
    </w:p>
    <w:p w14:paraId="12CD3A4A" w14:textId="77777777" w:rsidR="00E4601F" w:rsidRPr="00746F54" w:rsidRDefault="00E4601F" w:rsidP="00636D40">
      <w:pPr>
        <w:spacing w:line="300" w:lineRule="auto"/>
        <w:rPr>
          <w:rFonts w:ascii="Arial" w:eastAsia="Calibri" w:hAnsi="Arial" w:cs="Arial"/>
        </w:rPr>
      </w:pPr>
      <w:r w:rsidRPr="00746F54">
        <w:rPr>
          <w:rFonts w:ascii="Arial" w:eastAsia="Calibri" w:hAnsi="Arial" w:cs="Arial"/>
        </w:rPr>
        <w:t xml:space="preserve">This BPM provides an overview of the GHG design for EDAM entities in the day-ahead time frame. The EIM BPM provides an overview of GHG rules that apply for EDAM entities in the real-time market as well as how some rules may differ for entities that only participate in the EIM.  </w:t>
      </w:r>
    </w:p>
    <w:p w14:paraId="6641DAEF" w14:textId="77777777" w:rsidR="00E4601F" w:rsidRPr="00746F54" w:rsidRDefault="00E4601F" w:rsidP="00636D40">
      <w:pPr>
        <w:spacing w:line="300" w:lineRule="auto"/>
        <w:rPr>
          <w:rFonts w:ascii="Arial" w:eastAsia="Calibri" w:hAnsi="Arial" w:cs="Arial"/>
        </w:rPr>
      </w:pPr>
      <w:r w:rsidRPr="00746F54">
        <w:rPr>
          <w:rFonts w:ascii="Arial" w:eastAsia="Calibri" w:hAnsi="Arial" w:cs="Arial"/>
        </w:rPr>
        <w:t>The EDAM greenhouse gas (GHG) design is resource specific.  It identifies which resources receive an attribution to support a transfer serving demand in a GHG regulation area (</w:t>
      </w:r>
      <w:r w:rsidRPr="00746F54">
        <w:rPr>
          <w:rFonts w:ascii="Arial" w:eastAsia="Calibri" w:hAnsi="Arial" w:cs="Arial"/>
          <w:i/>
        </w:rPr>
        <w:t>i.e</w:t>
      </w:r>
      <w:r w:rsidRPr="00746F54">
        <w:rPr>
          <w:rFonts w:ascii="Arial" w:eastAsia="Calibri" w:hAnsi="Arial" w:cs="Arial"/>
        </w:rPr>
        <w:t xml:space="preserve">., GHG transfer) based on resource-specific bids. This approach allows scheduling coordinators for resources located outside of a specific GHG regulation area to elect to serve demand in that GHG regulation area and recover their cost of compliance with a state’s carbon pricing policy.  This method also provides a mechanism to identify which scheduling coordinators are electricity importers into a GHG regulation area.  </w:t>
      </w:r>
    </w:p>
    <w:p w14:paraId="44A4A130" w14:textId="61F62FAA" w:rsidR="00E4601F" w:rsidRPr="00746F54" w:rsidRDefault="00E4601F" w:rsidP="00E4601F">
      <w:pPr>
        <w:spacing w:line="300" w:lineRule="auto"/>
        <w:rPr>
          <w:rFonts w:ascii="Arial" w:eastAsia="Calibri" w:hAnsi="Arial" w:cs="Arial"/>
        </w:rPr>
      </w:pPr>
      <w:r w:rsidRPr="00746F54">
        <w:rPr>
          <w:rFonts w:ascii="Arial" w:eastAsia="Calibri" w:hAnsi="Arial" w:cs="Arial"/>
        </w:rPr>
        <w:t xml:space="preserve">EDAM includes the GHG reference pass, which creates a reference schedule to inform the MW value for which a resource may receive an attribution to serve demand in a GHG regulation area.  EDAM also includes a constraint to prevent the attribution of GHG transfers to resources in balancing authority areas that are net importers or </w:t>
      </w:r>
      <w:proofErr w:type="gramStart"/>
      <w:r w:rsidRPr="00746F54">
        <w:rPr>
          <w:rFonts w:ascii="Arial" w:eastAsia="Calibri" w:hAnsi="Arial" w:cs="Arial"/>
        </w:rPr>
        <w:t>in excess of</w:t>
      </w:r>
      <w:proofErr w:type="gramEnd"/>
      <w:r w:rsidRPr="00746F54">
        <w:rPr>
          <w:rFonts w:ascii="Arial" w:eastAsia="Calibri" w:hAnsi="Arial" w:cs="Arial"/>
        </w:rPr>
        <w:t xml:space="preserve"> total transfers in the applicable operating interval.  This feature supports the objective of reducing the potential for </w:t>
      </w:r>
      <w:r w:rsidRPr="00746F54">
        <w:rPr>
          <w:rFonts w:ascii="Arial" w:eastAsia="Calibri" w:hAnsi="Arial" w:cs="Arial"/>
        </w:rPr>
        <w:lastRenderedPageBreak/>
        <w:t xml:space="preserve">secondary </w:t>
      </w:r>
      <w:proofErr w:type="gramStart"/>
      <w:r w:rsidRPr="00746F54">
        <w:rPr>
          <w:rFonts w:ascii="Arial" w:eastAsia="Calibri" w:hAnsi="Arial" w:cs="Arial"/>
        </w:rPr>
        <w:t>dispatch</w:t>
      </w:r>
      <w:proofErr w:type="gramEnd"/>
      <w:r w:rsidRPr="00746F54">
        <w:rPr>
          <w:rFonts w:ascii="Arial" w:eastAsia="Calibri" w:hAnsi="Arial" w:cs="Arial"/>
        </w:rPr>
        <w:t xml:space="preserve"> or the potential for lower emitting resources serving a GHG regulation area, while not accounting for higher emitting resources serving demand in non-GHG Regulation Area</w:t>
      </w:r>
      <w:r w:rsidRPr="00746F54">
        <w:rPr>
          <w:rFonts w:ascii="Arial" w:hAnsi="Arial" w:cs="Arial"/>
        </w:rPr>
        <w:t>.</w:t>
      </w:r>
    </w:p>
    <w:p w14:paraId="7AC8758B" w14:textId="793B710F" w:rsidR="00E4601F" w:rsidRPr="00746F54" w:rsidRDefault="00E4601F" w:rsidP="00776EBF">
      <w:pPr>
        <w:pStyle w:val="Heading2"/>
        <w:rPr>
          <w:rFonts w:ascii="Arial" w:hAnsi="Arial" w:cs="Arial"/>
        </w:rPr>
      </w:pPr>
      <w:bookmarkStart w:id="239" w:name="_Toc211337976"/>
      <w:bookmarkStart w:id="240" w:name="_Toc228963741"/>
      <w:r w:rsidRPr="00746F54">
        <w:rPr>
          <w:rFonts w:ascii="Arial" w:hAnsi="Arial" w:cs="Arial"/>
        </w:rPr>
        <w:t>Accounting for Greenhouse Gas Regulations in EDAM</w:t>
      </w:r>
      <w:bookmarkEnd w:id="239"/>
      <w:bookmarkEnd w:id="240"/>
      <w:r w:rsidRPr="00746F54">
        <w:rPr>
          <w:rFonts w:ascii="Arial" w:hAnsi="Arial" w:cs="Arial"/>
        </w:rPr>
        <w:t xml:space="preserve"> </w:t>
      </w:r>
    </w:p>
    <w:p w14:paraId="629E4752" w14:textId="16EA74AA" w:rsidR="00E4601F" w:rsidRPr="00746F54" w:rsidRDefault="00E4601F" w:rsidP="00E4601F">
      <w:pPr>
        <w:spacing w:after="240" w:line="300" w:lineRule="auto"/>
        <w:rPr>
          <w:rFonts w:ascii="Arial" w:eastAsia="Calibri" w:hAnsi="Arial" w:cs="Arial"/>
          <w:u w:val="single"/>
        </w:rPr>
      </w:pPr>
      <w:r w:rsidRPr="00746F54">
        <w:rPr>
          <w:rFonts w:ascii="Arial" w:eastAsia="Calibri" w:hAnsi="Arial" w:cs="Arial"/>
          <w:u w:val="single"/>
        </w:rPr>
        <w:t>Reference tariff sections 33.32.1.1 and 33.32.1.2</w:t>
      </w:r>
    </w:p>
    <w:p w14:paraId="77523DCB" w14:textId="4622F60E"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Transfers of energy into GHG regulation areas are subject to GHG pricing programs administered by state agencies such as the California Air Resources Board (CARB) or the Washington Department of Ecology (ECY) as electricity imports.  Consistent with CARB’s cap-and-trade program and ECY’s cap-and-invest program</w:t>
      </w:r>
      <w:r w:rsidR="007F509F">
        <w:rPr>
          <w:rStyle w:val="FootnoteReference"/>
          <w:rFonts w:ascii="Arial" w:eastAsia="Calibri" w:hAnsi="Arial" w:cs="Arial"/>
        </w:rPr>
        <w:footnoteReference w:id="8"/>
      </w:r>
      <w:r w:rsidRPr="00746F54">
        <w:rPr>
          <w:rFonts w:ascii="Arial" w:eastAsia="Calibri" w:hAnsi="Arial" w:cs="Arial"/>
        </w:rPr>
        <w:t xml:space="preserve">, the day-ahead market and real-time markets attribute transfers of energy into each GHG regulation areas to specific resources located outside of that GHG regulation area. </w:t>
      </w:r>
    </w:p>
    <w:p w14:paraId="29198EF5"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In general, GHG attribution occurs through a three-step process:</w:t>
      </w:r>
    </w:p>
    <w:p w14:paraId="548E0A5F" w14:textId="77777777" w:rsidR="00E4601F" w:rsidRPr="00746F54" w:rsidRDefault="00E4601F" w:rsidP="00E4601F">
      <w:pPr>
        <w:pStyle w:val="ListParagraph"/>
        <w:numPr>
          <w:ilvl w:val="0"/>
          <w:numId w:val="47"/>
        </w:numPr>
        <w:spacing w:after="240" w:line="300" w:lineRule="auto"/>
        <w:rPr>
          <w:rFonts w:ascii="Arial" w:eastAsia="Calibri" w:hAnsi="Arial" w:cs="Arial"/>
        </w:rPr>
      </w:pPr>
      <w:r w:rsidRPr="00746F54">
        <w:rPr>
          <w:rFonts w:ascii="Arial" w:eastAsia="Calibri" w:hAnsi="Arial" w:cs="Arial"/>
        </w:rPr>
        <w:t>A scheduling coordinator for a resource located outside of a GHG regulation area submits a two-part adder consisting of a GHG bid capacity (MW) quantity and a GHG price ($/MWh) that reflects the scheduling coordinator’s willingness to make output from a resource available to serve California, Washington, or both.  The GHG bid adder reflects a resource’s GHG compliance costs for importing electricity into a GHG regulation area. The submission of GHG bid adders is voluntary; the market does not require scheduling coordinators to submit GHG bid adders.</w:t>
      </w:r>
    </w:p>
    <w:p w14:paraId="6830AF48" w14:textId="77777777" w:rsidR="00E4601F" w:rsidRPr="00746F54" w:rsidRDefault="00E4601F" w:rsidP="00E4601F">
      <w:pPr>
        <w:pStyle w:val="ListParagraph"/>
        <w:numPr>
          <w:ilvl w:val="0"/>
          <w:numId w:val="47"/>
        </w:numPr>
        <w:spacing w:after="240" w:line="300" w:lineRule="auto"/>
        <w:rPr>
          <w:rFonts w:ascii="Arial" w:eastAsia="Calibri" w:hAnsi="Arial" w:cs="Arial"/>
        </w:rPr>
      </w:pPr>
      <w:r w:rsidRPr="00746F54">
        <w:rPr>
          <w:rFonts w:ascii="Arial" w:eastAsia="Calibri" w:hAnsi="Arial" w:cs="Arial"/>
        </w:rPr>
        <w:t xml:space="preserve">The market determines how much of the resource’s capacity is eligible to serve load in a GHG regulation area.  This determination occurs through what is called a GHG reference pass that identifies a MW value eligible to support energy transfers into one or more GHG regulation areas. </w:t>
      </w:r>
    </w:p>
    <w:p w14:paraId="2EC15604" w14:textId="77777777" w:rsidR="00E4601F" w:rsidRPr="00746F54" w:rsidRDefault="00E4601F" w:rsidP="00E4601F">
      <w:pPr>
        <w:pStyle w:val="ListParagraph"/>
        <w:numPr>
          <w:ilvl w:val="0"/>
          <w:numId w:val="47"/>
        </w:numPr>
        <w:spacing w:after="240" w:line="300" w:lineRule="auto"/>
        <w:rPr>
          <w:rFonts w:ascii="Arial" w:eastAsia="Calibri" w:hAnsi="Arial" w:cs="Arial"/>
        </w:rPr>
      </w:pPr>
      <w:r w:rsidRPr="00746F54">
        <w:rPr>
          <w:rFonts w:ascii="Arial" w:eastAsia="Calibri" w:hAnsi="Arial" w:cs="Arial"/>
        </w:rPr>
        <w:t xml:space="preserve">The market co-optimizes dispatch for the GHG regulation and non-GHG regulation areas. Based on the submitted GHG bid adders, the market optimization derives a GHG marginal clearing price. This GHG marginal clearing price becomes a component of the locational marginal price (LMP) that is then used in market settlements. The GHG component of the LMP is a positive component to the LMP, thereby increasing the price paid by load-serving entities in GHG regulation areas. </w:t>
      </w:r>
    </w:p>
    <w:p w14:paraId="4A0DB0C4" w14:textId="5706FE3B"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Resources that receive an attribution to serve load in a GHG regulation area will receive this higher LMP.  For balancing authority areas outside a GHG regulation area, the GHG component </w:t>
      </w:r>
      <w:r w:rsidRPr="00746F54">
        <w:rPr>
          <w:rFonts w:ascii="Arial" w:eastAsia="Calibri" w:hAnsi="Arial" w:cs="Arial"/>
        </w:rPr>
        <w:lastRenderedPageBreak/>
        <w:t xml:space="preserve">of the LMP is always zero, reflecting that imports into their areas are not subject to GHG pricing programs. When there are net transfers from balancing authority areas within a specific GHG regulation area to balancing authority areas outside of that GHG regulation area, resources outside of the specific GHG regulation will not receive an attribution to serve load in that GHG regulation area.  In these intervals, the GHG component of the LMP is zero for that GHG regulation area. </w:t>
      </w:r>
    </w:p>
    <w:p w14:paraId="0A433CD4" w14:textId="4E20D37C" w:rsidR="00E4601F" w:rsidRPr="00746F54" w:rsidRDefault="00E4601F" w:rsidP="00E4601F">
      <w:pPr>
        <w:spacing w:after="240" w:line="300" w:lineRule="auto"/>
        <w:rPr>
          <w:rFonts w:ascii="Arial" w:hAnsi="Arial" w:cs="Arial"/>
        </w:rPr>
      </w:pPr>
      <w:r w:rsidRPr="00746F54">
        <w:rPr>
          <w:rFonts w:ascii="Arial" w:hAnsi="Arial" w:cs="Arial"/>
        </w:rPr>
        <w:t xml:space="preserve">The steps identified above apply to both the day-ahead market and real-time </w:t>
      </w:r>
      <w:proofErr w:type="gramStart"/>
      <w:r w:rsidRPr="00746F54">
        <w:rPr>
          <w:rFonts w:ascii="Arial" w:hAnsi="Arial" w:cs="Arial"/>
        </w:rPr>
        <w:t>market</w:t>
      </w:r>
      <w:proofErr w:type="gramEnd"/>
      <w:r w:rsidRPr="00746F54">
        <w:rPr>
          <w:rFonts w:ascii="Arial" w:hAnsi="Arial" w:cs="Arial"/>
        </w:rPr>
        <w:t xml:space="preserve"> but some differences exist between the two. For example, there is a different process used for EDAM resources entities versus EIM participating resources to determine eligible MW quantities to serve load in a GHG regulation area. The day-ahead market utilizes a separate, optimized market pass to determine a resource’s baseline “counterfactual” schedule, which rolls over to real time. For entities only participating in the EIM, the market uses a scheduling coordinator’s self-submitted base schedule. These differences are explained in the sections below, and in the EIM BPM. If no difference is noted, the day-ahead market and real-time market operate the same way.  </w:t>
      </w:r>
    </w:p>
    <w:p w14:paraId="50813A86" w14:textId="5C0FDC6E" w:rsidR="00E4601F" w:rsidRPr="00746F54" w:rsidRDefault="00E4601F" w:rsidP="00776EBF">
      <w:pPr>
        <w:pStyle w:val="Heading2"/>
        <w:rPr>
          <w:rFonts w:ascii="Arial" w:hAnsi="Arial" w:cs="Arial"/>
        </w:rPr>
      </w:pPr>
      <w:r w:rsidRPr="00746F54">
        <w:rPr>
          <w:rFonts w:ascii="Arial" w:hAnsi="Arial" w:cs="Arial"/>
        </w:rPr>
        <w:t xml:space="preserve"> </w:t>
      </w:r>
      <w:bookmarkStart w:id="241" w:name="_Toc211337977"/>
      <w:bookmarkStart w:id="242" w:name="_Toc228963742"/>
      <w:r w:rsidRPr="00746F54">
        <w:rPr>
          <w:rFonts w:ascii="Arial" w:hAnsi="Arial" w:cs="Arial"/>
        </w:rPr>
        <w:t>GHG Accounting Market Design</w:t>
      </w:r>
      <w:bookmarkEnd w:id="241"/>
      <w:bookmarkEnd w:id="242"/>
    </w:p>
    <w:p w14:paraId="08AF18A6" w14:textId="77777777" w:rsidR="00E4601F" w:rsidRPr="00746F54" w:rsidRDefault="00E4601F" w:rsidP="00E4601F">
      <w:pPr>
        <w:pStyle w:val="ParaText"/>
        <w:rPr>
          <w:rFonts w:ascii="Arial" w:hAnsi="Arial" w:cs="Arial"/>
        </w:rPr>
      </w:pPr>
      <w:r w:rsidRPr="00746F54">
        <w:rPr>
          <w:rFonts w:ascii="Arial" w:hAnsi="Arial" w:cs="Arial"/>
        </w:rPr>
        <w:t>The GHG accounting market design has several elements.  The following sub-sections generally track provisions of the CAISO tariff section 33.32 and include cross-references to tariff sections for ease of reference.</w:t>
      </w:r>
    </w:p>
    <w:p w14:paraId="40515658" w14:textId="4A32AB98" w:rsidR="00E4601F" w:rsidRPr="00746F54" w:rsidRDefault="00E4601F" w:rsidP="00FA407A">
      <w:pPr>
        <w:pStyle w:val="Heading3"/>
        <w:rPr>
          <w:rFonts w:ascii="Arial" w:hAnsi="Arial" w:cs="Arial"/>
        </w:rPr>
      </w:pPr>
      <w:bookmarkStart w:id="243" w:name="_Toc211337978"/>
      <w:r w:rsidRPr="00746F54">
        <w:rPr>
          <w:rFonts w:ascii="Arial" w:hAnsi="Arial" w:cs="Arial"/>
        </w:rPr>
        <w:t>GHG Regulation Areas</w:t>
      </w:r>
      <w:bookmarkEnd w:id="243"/>
      <w:r w:rsidRPr="00746F54">
        <w:rPr>
          <w:rFonts w:ascii="Arial" w:hAnsi="Arial" w:cs="Arial"/>
        </w:rPr>
        <w:t xml:space="preserve"> </w:t>
      </w:r>
    </w:p>
    <w:p w14:paraId="0B6A5719" w14:textId="29BBC86D" w:rsidR="00E4601F" w:rsidRPr="00746F54" w:rsidRDefault="00E4601F" w:rsidP="00E4601F">
      <w:pPr>
        <w:contextualSpacing/>
        <w:rPr>
          <w:rFonts w:ascii="Arial" w:eastAsia="Calibri" w:hAnsi="Arial" w:cs="Arial"/>
          <w:bCs/>
          <w:u w:val="single"/>
        </w:rPr>
      </w:pPr>
      <w:r w:rsidRPr="00746F54">
        <w:rPr>
          <w:rFonts w:ascii="Arial" w:eastAsia="Calibri" w:hAnsi="Arial" w:cs="Arial"/>
          <w:bCs/>
          <w:u w:val="single"/>
        </w:rPr>
        <w:t>Reference tariff sections 33.32.1 and Appendix A</w:t>
      </w:r>
    </w:p>
    <w:p w14:paraId="0B5B8480" w14:textId="77777777" w:rsidR="00E4601F" w:rsidRPr="00746F54" w:rsidRDefault="00E4601F" w:rsidP="00E4601F">
      <w:pPr>
        <w:contextualSpacing/>
        <w:rPr>
          <w:rFonts w:ascii="Arial" w:eastAsia="Calibri" w:hAnsi="Arial" w:cs="Arial"/>
          <w:b/>
        </w:rPr>
      </w:pPr>
    </w:p>
    <w:p w14:paraId="765B7952" w14:textId="77777777" w:rsidR="0067387D" w:rsidRPr="00D81D29" w:rsidRDefault="0067387D" w:rsidP="00D81D29">
      <w:pPr>
        <w:spacing w:line="360" w:lineRule="auto"/>
        <w:rPr>
          <w:rFonts w:ascii="Arial" w:hAnsi="Arial" w:cs="Arial"/>
          <w:color w:val="FF0000"/>
        </w:rPr>
      </w:pPr>
      <w:r w:rsidRPr="00D81D29">
        <w:rPr>
          <w:rFonts w:ascii="Arial" w:hAnsi="Arial" w:cs="Arial"/>
        </w:rPr>
        <w:t xml:space="preserve">The Extended Day-Ahead Market tariff provides an opportunity for EDAM resource scheduling coordinators and Western Energy Imbalance Market (WEIM) </w:t>
      </w:r>
      <w:proofErr w:type="gramStart"/>
      <w:r w:rsidRPr="00D81D29">
        <w:rPr>
          <w:rFonts w:ascii="Arial" w:hAnsi="Arial" w:cs="Arial"/>
        </w:rPr>
        <w:t>participating</w:t>
      </w:r>
      <w:proofErr w:type="gramEnd"/>
      <w:r w:rsidRPr="00D81D29">
        <w:rPr>
          <w:rFonts w:ascii="Arial" w:hAnsi="Arial" w:cs="Arial"/>
        </w:rPr>
        <w:t xml:space="preserve"> resource scheduling coordinators to recover costs of compliance with regulations adopted by a state jurisdiction that has priced emissions as part of a state Greenhouse Gas (GHG) reporting and reduction program.   At the start of EDAM, the CAISO will model the GHG regulation area for the State of California to reflect the boundaries of the CAISO balancing authority area in the day-ahead market.  In the real-time market, the GHG regulation area for the State of California will reflect the boundaries of the CAISO and other California balancing authority areas participating in the WEIM.  The CAISO’s proposed modeling approach </w:t>
      </w:r>
      <w:r w:rsidRPr="00D81D29">
        <w:rPr>
          <w:rFonts w:ascii="Arial" w:hAnsi="Arial" w:cs="Arial"/>
          <w:color w:val="FF0000"/>
        </w:rPr>
        <w:t>for a GHG regulation area</w:t>
      </w:r>
      <w:r w:rsidRPr="00D81D29">
        <w:rPr>
          <w:rFonts w:ascii="Arial" w:hAnsi="Arial" w:cs="Arial"/>
        </w:rPr>
        <w:t xml:space="preserve"> is consistent with the CAISO’s practice today for GHG accounting.  This approach will support the CAISO’s ability, consistent with GHG reporting and reduction program administered by the California Air </w:t>
      </w:r>
      <w:r w:rsidRPr="00D81D29">
        <w:rPr>
          <w:rFonts w:ascii="Arial" w:hAnsi="Arial" w:cs="Arial"/>
        </w:rPr>
        <w:lastRenderedPageBreak/>
        <w:t xml:space="preserve">Resources Board, to designate electricity imported to serve load located within the State of California based on voluntarily submitted GHG bid adders. The CAISO will continue to work with stakeholders to refine its modeling of GHG regulation area boundaries to designate electricity imported to serve load located within the State of California </w:t>
      </w:r>
      <w:r w:rsidRPr="00D81D29">
        <w:rPr>
          <w:rFonts w:ascii="Arial" w:hAnsi="Arial" w:cs="Arial"/>
          <w:color w:val="FF0000"/>
        </w:rPr>
        <w:t>and as other Western states, such as the State of Washington, are integrated in the market as GHG regulation areas.</w:t>
      </w:r>
    </w:p>
    <w:p w14:paraId="18536A16" w14:textId="77777777" w:rsidR="0067387D" w:rsidRDefault="0067387D" w:rsidP="00E4601F">
      <w:pPr>
        <w:spacing w:after="240" w:line="300" w:lineRule="auto"/>
        <w:rPr>
          <w:rFonts w:ascii="Arial" w:eastAsia="Calibri" w:hAnsi="Arial" w:cs="Arial"/>
        </w:rPr>
      </w:pPr>
    </w:p>
    <w:p w14:paraId="7AA05AF7" w14:textId="55B8F6EE" w:rsidR="00E4601F" w:rsidRPr="00746F54" w:rsidRDefault="00E4601F" w:rsidP="00FA407A">
      <w:pPr>
        <w:pStyle w:val="Heading3"/>
        <w:rPr>
          <w:rFonts w:ascii="Arial" w:hAnsi="Arial" w:cs="Arial"/>
        </w:rPr>
      </w:pPr>
      <w:bookmarkStart w:id="244" w:name="_Toc211337979"/>
      <w:r w:rsidRPr="00746F54">
        <w:rPr>
          <w:rFonts w:ascii="Arial" w:hAnsi="Arial" w:cs="Arial"/>
        </w:rPr>
        <w:t>Bid Adders and GHG Regulation Areas</w:t>
      </w:r>
      <w:bookmarkEnd w:id="244"/>
    </w:p>
    <w:p w14:paraId="0E4D3DE7" w14:textId="5368DEB2" w:rsidR="00365710" w:rsidRPr="00746F54" w:rsidRDefault="0036571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33.32.1.2</w:t>
      </w:r>
    </w:p>
    <w:p w14:paraId="74CEBEB2" w14:textId="59DCFFC6"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EDAM GHG design allows for bid adders that reflect the costs of compliance with a GHG pricing program. Through the bids submitted by scheduling coordinators, the market optimization considers certain information based on resources’ location and which GHG regulation area they offer to serve. This information takes three forms: (1) to serve load outside a GHG regulation area the optimization only considers the resources’ energy bids because they are not subject to any GHG regulation, (2) to serve load inside a GHG regulation area (imported in the GHG regulation area) the optimization considers the resources’ energy bids + GHG bid adders, and (3) to serve load inside a GHG regulation area (from resources inside the GHG regulation area), the optimization considers only the resources’ energy bids, which include the cost of GHG compliance. </w:t>
      </w:r>
    </w:p>
    <w:p w14:paraId="3A76B45E" w14:textId="2E1B19A5"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Scheduling coordinators for resources located outside of a specific GHG regulation area may submit a GHG bid adder expressing a willingness for energy from the resource to receive an attribution to serve load in the </w:t>
      </w:r>
      <w:proofErr w:type="gramStart"/>
      <w:r w:rsidRPr="00746F54">
        <w:rPr>
          <w:rFonts w:ascii="Arial" w:eastAsia="Calibri" w:hAnsi="Arial" w:cs="Arial"/>
        </w:rPr>
        <w:t>particular GHG</w:t>
      </w:r>
      <w:proofErr w:type="gramEnd"/>
      <w:r w:rsidRPr="00746F54">
        <w:rPr>
          <w:rFonts w:ascii="Arial" w:eastAsia="Calibri" w:hAnsi="Arial" w:cs="Arial"/>
        </w:rPr>
        <w:t xml:space="preserve"> regulation area. The submission of GHG bid adders is voluntary; scheduling coordinators have the option to submit GHG bid adders to serve one GHG area or two. They may also choose not to submit any GHG bid adders at all, in which case they will not receive an attribution to serve demand in a GHG regulation area.</w:t>
      </w:r>
      <w:r w:rsidRPr="00746F54">
        <w:rPr>
          <w:rStyle w:val="FootnoteReference"/>
          <w:rFonts w:ascii="Arial" w:eastAsia="Calibri" w:hAnsi="Arial" w:cs="Arial"/>
        </w:rPr>
        <w:footnoteReference w:id="9"/>
      </w:r>
      <w:r w:rsidRPr="00746F54">
        <w:rPr>
          <w:rFonts w:ascii="Arial" w:eastAsia="Calibri" w:hAnsi="Arial" w:cs="Arial"/>
        </w:rPr>
        <w:t xml:space="preserve"> If a</w:t>
      </w:r>
      <w:r w:rsidRPr="00746F54" w:rsidDel="0024780F">
        <w:rPr>
          <w:rFonts w:ascii="Arial" w:eastAsia="Calibri" w:hAnsi="Arial" w:cs="Arial"/>
        </w:rPr>
        <w:t xml:space="preserve"> </w:t>
      </w:r>
      <w:r w:rsidRPr="00746F54">
        <w:rPr>
          <w:rFonts w:ascii="Arial" w:eastAsia="Calibri" w:hAnsi="Arial" w:cs="Arial"/>
        </w:rPr>
        <w:t xml:space="preserve">scheduling coordinator </w:t>
      </w:r>
      <w:proofErr w:type="gramStart"/>
      <w:r w:rsidRPr="00746F54">
        <w:rPr>
          <w:rFonts w:ascii="Arial" w:eastAsia="Calibri" w:hAnsi="Arial" w:cs="Arial"/>
        </w:rPr>
        <w:t>submit</w:t>
      </w:r>
      <w:proofErr w:type="gramEnd"/>
      <w:r w:rsidRPr="00746F54">
        <w:rPr>
          <w:rFonts w:ascii="Arial" w:eastAsia="Calibri" w:hAnsi="Arial" w:cs="Arial"/>
        </w:rPr>
        <w:t xml:space="preserve"> a GHG bid adder with a 0 MW quantity, they will not receive an attribution to serve demand in a GHG regulation area.  If a new GHG regulation area </w:t>
      </w:r>
      <w:r w:rsidR="0067387D">
        <w:rPr>
          <w:rFonts w:ascii="Arial" w:eastAsia="Calibri" w:hAnsi="Arial" w:cs="Arial"/>
        </w:rPr>
        <w:t>is established</w:t>
      </w:r>
      <w:r w:rsidRPr="00746F54">
        <w:rPr>
          <w:rFonts w:ascii="Arial" w:eastAsia="Calibri" w:hAnsi="Arial" w:cs="Arial"/>
        </w:rPr>
        <w:t xml:space="preserve">, the market will allow a scheduling coordinator for a resource outside of that GHG regulation area to submit GHG bid adders to that GHG regulation area or any combination of GHG regulation areas to which it might support a transfer. If there is linkage between different GHG pricing programs, the market will allow scheduling coordinators for resources located outside individual GHG regulation areas to offer bid adders to serve load in the individual linked </w:t>
      </w:r>
      <w:r w:rsidRPr="00746F54">
        <w:rPr>
          <w:rFonts w:ascii="Arial" w:eastAsia="Calibri" w:hAnsi="Arial" w:cs="Arial"/>
        </w:rPr>
        <w:lastRenderedPageBreak/>
        <w:t xml:space="preserve">GHG regulation areas.  However, linkage would involve a single compliance instrument or GHG price, so resources would have only one maximum GHG cost for the linked GHG regulation areas. </w:t>
      </w:r>
    </w:p>
    <w:p w14:paraId="76F23DCE" w14:textId="64C11076"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Scheduling coordinators may not submit a GHG bid adder to serve load in a specific GHG regulation area if the resource </w:t>
      </w:r>
      <w:proofErr w:type="gramStart"/>
      <w:r w:rsidRPr="00746F54">
        <w:rPr>
          <w:rFonts w:ascii="Arial" w:eastAsia="Calibri" w:hAnsi="Arial" w:cs="Arial"/>
        </w:rPr>
        <w:t>is located in</w:t>
      </w:r>
      <w:proofErr w:type="gramEnd"/>
      <w:r w:rsidRPr="00746F54">
        <w:rPr>
          <w:rFonts w:ascii="Arial" w:eastAsia="Calibri" w:hAnsi="Arial" w:cs="Arial"/>
        </w:rPr>
        <w:t xml:space="preserve"> that same GHG area. This is because the market considers the resource’s output to have a GHG compliance obligation in the resource’s native GHG regulation area. </w:t>
      </w:r>
      <w:r w:rsidR="0067387D">
        <w:rPr>
          <w:rFonts w:ascii="Arial" w:eastAsia="Calibri" w:hAnsi="Arial" w:cs="Arial"/>
        </w:rPr>
        <w:t>T</w:t>
      </w:r>
      <w:r w:rsidRPr="00746F54">
        <w:rPr>
          <w:rFonts w:ascii="Arial" w:eastAsia="Calibri" w:hAnsi="Arial" w:cs="Arial"/>
        </w:rPr>
        <w:t>his</w:t>
      </w:r>
      <w:r w:rsidR="0067387D">
        <w:rPr>
          <w:rFonts w:ascii="Arial" w:eastAsia="Calibri" w:hAnsi="Arial" w:cs="Arial"/>
        </w:rPr>
        <w:t xml:space="preserve"> GHG compliance obligation</w:t>
      </w:r>
      <w:r w:rsidRPr="00746F54">
        <w:rPr>
          <w:rFonts w:ascii="Arial" w:eastAsia="Calibri" w:hAnsi="Arial" w:cs="Arial"/>
        </w:rPr>
        <w:t xml:space="preserve"> cost is reflected in the resource’s energy bid. A resource located in a GHG regulation area may still submit a GHG bid adder to serve load in a different GHG area.</w:t>
      </w:r>
    </w:p>
    <w:p w14:paraId="463A08DD" w14:textId="75110827" w:rsidR="00E4601F" w:rsidRPr="00746F54" w:rsidRDefault="00E4601F" w:rsidP="00FA407A">
      <w:pPr>
        <w:pStyle w:val="Heading3"/>
        <w:rPr>
          <w:rFonts w:ascii="Arial" w:hAnsi="Arial" w:cs="Arial"/>
        </w:rPr>
      </w:pPr>
      <w:bookmarkStart w:id="245" w:name="_Toc211337980"/>
      <w:r w:rsidRPr="00746F54">
        <w:rPr>
          <w:rFonts w:ascii="Arial" w:hAnsi="Arial" w:cs="Arial"/>
        </w:rPr>
        <w:t>GHG bid adder submission</w:t>
      </w:r>
      <w:bookmarkEnd w:id="245"/>
    </w:p>
    <w:p w14:paraId="0B2078CC" w14:textId="70DC8B87" w:rsidR="00365710" w:rsidRPr="00746F54" w:rsidRDefault="0036571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33.32.1.3</w:t>
      </w:r>
    </w:p>
    <w:p w14:paraId="3B72D808" w14:textId="480F3992"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The GHG bid adder is a two-part bid with a GHG bid capacity (MW) quantity and a GHG bid price ($/MWh) that is submitted on an hourly basis for either or both GHG regulation areas. Different MW quantities and different prices may be submitted for different GHG regulation areas. For multi-stage generators (MSGs), the GHG bid capacity and price are the same value for the entire resource; separate values are not submitted for each MSG configuration. The GHG bid capacity is independent of the submitted energy bid curve but is limited by the maximum MW quantity represented in the submitted energy bid curve.</w:t>
      </w:r>
    </w:p>
    <w:p w14:paraId="3FD68B44" w14:textId="43247254" w:rsidR="00E4601F" w:rsidRPr="00746F54" w:rsidRDefault="00E4601F" w:rsidP="00FA407A">
      <w:pPr>
        <w:pStyle w:val="Heading3"/>
        <w:rPr>
          <w:rFonts w:ascii="Arial" w:hAnsi="Arial" w:cs="Arial"/>
        </w:rPr>
      </w:pPr>
      <w:bookmarkStart w:id="246" w:name="_Toc211337981"/>
      <w:r w:rsidRPr="00746F54">
        <w:rPr>
          <w:rFonts w:ascii="Arial" w:hAnsi="Arial" w:cs="Arial"/>
        </w:rPr>
        <w:t>Default Treatment</w:t>
      </w:r>
      <w:bookmarkEnd w:id="246"/>
      <w:r w:rsidRPr="00746F54">
        <w:rPr>
          <w:rFonts w:ascii="Arial" w:hAnsi="Arial" w:cs="Arial"/>
        </w:rPr>
        <w:t xml:space="preserve"> </w:t>
      </w:r>
    </w:p>
    <w:p w14:paraId="22C8367B" w14:textId="2A744B31" w:rsidR="00365710" w:rsidRPr="00746F54" w:rsidRDefault="0036571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33.32.1.4</w:t>
      </w:r>
    </w:p>
    <w:p w14:paraId="24A979CF" w14:textId="3D9BF30E"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If a resource located outside a GHG Regulation Area does not have a GHG bid adder or includes 0 MW of capacity in a bid adder to serve load within a specific GHG regulation area, the market will not attribute the resource as supporting a GHG transfer into that specific GHG regulation area.</w:t>
      </w:r>
    </w:p>
    <w:p w14:paraId="14B2C654" w14:textId="5E6DBC91" w:rsidR="00E4601F" w:rsidRPr="00746F54" w:rsidRDefault="00E4601F" w:rsidP="00FA407A">
      <w:pPr>
        <w:pStyle w:val="Heading3"/>
        <w:rPr>
          <w:rFonts w:ascii="Arial" w:hAnsi="Arial" w:cs="Arial"/>
        </w:rPr>
      </w:pPr>
      <w:bookmarkStart w:id="247" w:name="_Toc211337982"/>
      <w:r w:rsidRPr="00746F54">
        <w:rPr>
          <w:rFonts w:ascii="Arial" w:hAnsi="Arial" w:cs="Arial"/>
        </w:rPr>
        <w:t>Maximum GHG Bid Adder</w:t>
      </w:r>
      <w:bookmarkEnd w:id="247"/>
      <w:r w:rsidRPr="00746F54">
        <w:rPr>
          <w:rFonts w:ascii="Arial" w:hAnsi="Arial" w:cs="Arial"/>
        </w:rPr>
        <w:t xml:space="preserve"> </w:t>
      </w:r>
    </w:p>
    <w:p w14:paraId="6CCDB1F5" w14:textId="31629B7B" w:rsidR="00365710" w:rsidRPr="00746F54" w:rsidRDefault="0036571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33.32.1.5</w:t>
      </w:r>
    </w:p>
    <w:p w14:paraId="296F4CF9" w14:textId="22247C9F"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To provide reasonable assurance that GHG bid adders are cost-based bids, their prices are limited by a value called the Greenhouse Gas Maximum Compliance Cost (hereafter called the GHG bid cap). The GHG bid cap is based on the GHG allowance price for the relevant GHG regulation area.  The GHG allowance index price is calculated separately for each GHG regulation area. The GHG allowance index price is derived as the average of the most recently </w:t>
      </w:r>
      <w:r w:rsidRPr="00746F54">
        <w:rPr>
          <w:rFonts w:ascii="Arial" w:eastAsia="Calibri" w:hAnsi="Arial" w:cs="Arial"/>
        </w:rPr>
        <w:lastRenderedPageBreak/>
        <w:t>available GHG allowance index prices from Argus and the Intercontinental Exchange (ICE). The ISO reports GHG allowance index prices daily on OASIS. The CAISO will update the greenhouse gas allowance price by approximately 22:00 Pacific Time each day (T). The daily greenhouse gas allowance price will be used in the next day’s Real-Time Market (T+1) and in the Day-Ahead Market for the following trading day (T+2). The CAISO will calculate each GHG allowance price during a year using prices for greenhouse gas allowances from that same year.</w:t>
      </w:r>
    </w:p>
    <w:p w14:paraId="2DE8B8BC"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A scheduling coordinator must submit a GHG bid adder price equal to or less than its GHG bid cap, but not less than $0/MWh.</w:t>
      </w:r>
      <w:r w:rsidRPr="00746F54">
        <w:rPr>
          <w:rFonts w:ascii="Arial" w:hAnsi="Arial" w:cs="Arial"/>
        </w:rPr>
        <w:t xml:space="preserve"> </w:t>
      </w:r>
      <w:r w:rsidRPr="00746F54">
        <w:rPr>
          <w:rFonts w:ascii="Arial" w:eastAsia="Calibri" w:hAnsi="Arial" w:cs="Arial"/>
        </w:rPr>
        <w:t xml:space="preserve"> If a scheduling coordinator submits a GHG bid price above the GHG bid cap, the GHG bid price will be set to the calculated GHG bid cap. If a resource submits a MW quantity, but fails to submit a GHG bid price, the default will be the calculated GHG bid cap.</w:t>
      </w:r>
    </w:p>
    <w:p w14:paraId="5403DAB0"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For resources internal to a GHG regulation area, the CAISO may include a GHG cost adder in reference level calculations for resources using the variable cost option or negotiated rate option. The GHG cost adder in reference levels is similarly based on the GHG allowance index price.</w:t>
      </w:r>
    </w:p>
    <w:p w14:paraId="32E97C56" w14:textId="77777777" w:rsidR="00E4601F" w:rsidRPr="00746F54" w:rsidRDefault="00E4601F" w:rsidP="00E4601F">
      <w:pPr>
        <w:spacing w:after="240" w:line="300" w:lineRule="auto"/>
        <w:rPr>
          <w:rFonts w:ascii="Arial" w:eastAsia="Calibri" w:hAnsi="Arial" w:cs="Arial"/>
          <w:u w:val="single"/>
        </w:rPr>
      </w:pPr>
      <w:r w:rsidRPr="00746F54">
        <w:rPr>
          <w:rFonts w:ascii="Arial" w:eastAsia="Calibri" w:hAnsi="Arial" w:cs="Arial"/>
          <w:u w:val="single"/>
        </w:rPr>
        <w:t xml:space="preserve">GHG Bid Cap - Variable Cost Option: </w:t>
      </w:r>
    </w:p>
    <w:p w14:paraId="4253C662"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Under the variable cost option,  the CAISO</w:t>
      </w:r>
      <w:r w:rsidRPr="00746F54" w:rsidDel="001705D8">
        <w:rPr>
          <w:rFonts w:ascii="Arial" w:eastAsia="Calibri" w:hAnsi="Arial" w:cs="Arial"/>
        </w:rPr>
        <w:t xml:space="preserve"> </w:t>
      </w:r>
      <w:r w:rsidRPr="00746F54">
        <w:rPr>
          <w:rFonts w:ascii="Arial" w:eastAsia="Calibri" w:hAnsi="Arial" w:cs="Arial"/>
        </w:rPr>
        <w:t xml:space="preserve">will daily calculate a resource-specific GHG bid cap for each GHG regulation area. The CAISO calculates the GHG bid cap using the resource’s highest registered average heat rate, the applicable GHG allowance index price, the resource’s emission rate, and a unit conversion factor. </w:t>
      </w:r>
      <w:proofErr w:type="gramStart"/>
      <w:r w:rsidRPr="00746F54">
        <w:rPr>
          <w:rFonts w:ascii="Arial" w:eastAsia="Calibri" w:hAnsi="Arial" w:cs="Arial"/>
        </w:rPr>
        <w:t>Similar to</w:t>
      </w:r>
      <w:proofErr w:type="gramEnd"/>
      <w:r w:rsidRPr="00746F54">
        <w:rPr>
          <w:rFonts w:ascii="Arial" w:eastAsia="Calibri" w:hAnsi="Arial" w:cs="Arial"/>
        </w:rPr>
        <w:t xml:space="preserve"> the default energy bids of CAISO resources, there will be a 10 percent adder to the calculated cost. The formula is as follows:</w:t>
      </w:r>
    </w:p>
    <w:p w14:paraId="22EE80F5" w14:textId="77777777" w:rsidR="00E4601F" w:rsidRPr="00746F54" w:rsidRDefault="00E4601F" w:rsidP="00E4601F">
      <w:pPr>
        <w:spacing w:after="240" w:line="300" w:lineRule="auto"/>
        <w:ind w:left="720"/>
        <w:rPr>
          <w:rFonts w:ascii="Arial" w:eastAsia="Calibri" w:hAnsi="Arial" w:cs="Arial"/>
        </w:rPr>
      </w:pPr>
      <w:r w:rsidRPr="00746F54">
        <w:rPr>
          <w:rFonts w:ascii="Arial" w:eastAsia="Calibri" w:hAnsi="Arial" w:cs="Arial"/>
        </w:rPr>
        <w:t xml:space="preserve">GHG bid cap ($/MWh) = 110% * Heat rate (Btu/kWh) * GHG emission rate (MTCO2e/MMBtu) * GHG allowance index price ($/MTCO2e) * Unit conversion factor (1/1,000,000 MMBtu/Btu * 1000 </w:t>
      </w:r>
      <w:proofErr w:type="spellStart"/>
      <w:r w:rsidRPr="00746F54">
        <w:rPr>
          <w:rFonts w:ascii="Arial" w:eastAsia="Calibri" w:hAnsi="Arial" w:cs="Arial"/>
        </w:rPr>
        <w:t>Kwh</w:t>
      </w:r>
      <w:proofErr w:type="spellEnd"/>
      <w:r w:rsidRPr="00746F54">
        <w:rPr>
          <w:rFonts w:ascii="Arial" w:eastAsia="Calibri" w:hAnsi="Arial" w:cs="Arial"/>
        </w:rPr>
        <w:t>/MWh)</w:t>
      </w:r>
    </w:p>
    <w:p w14:paraId="32D60B4D"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For purposes of this calculation, the market will use the resource’s highest registered average heat rate. For MSG resources, the market will use the highest average heat rate of any of the MSG configurations at the resource. </w:t>
      </w:r>
    </w:p>
    <w:p w14:paraId="587C49B6"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If an EDAM or WEIM entity allows economic participation in the FMM by imports on its external interties, the imports may also submit a GHG bid adder. If the import is registered as a resource-specific resource, the import resource’s GHG emissions rate will be used in the calculation of the GHG bid cap. If the import is registered as a system resource, the carbon dioxide equivalent emission rate of the resource with the highest such rate in the WECC region and the GHG allowance price will be used in the calculation of the GHG bid cap under the variable cost option.</w:t>
      </w:r>
    </w:p>
    <w:p w14:paraId="3324A28F" w14:textId="77777777" w:rsidR="00E4601F" w:rsidRPr="00746F54" w:rsidRDefault="00E4601F" w:rsidP="00E4601F">
      <w:pPr>
        <w:spacing w:after="240" w:line="300" w:lineRule="auto"/>
        <w:rPr>
          <w:rFonts w:ascii="Arial" w:eastAsia="Calibri" w:hAnsi="Arial" w:cs="Arial"/>
          <w:u w:val="single"/>
        </w:rPr>
      </w:pPr>
      <w:r w:rsidRPr="00746F54">
        <w:rPr>
          <w:rFonts w:ascii="Arial" w:eastAsia="Calibri" w:hAnsi="Arial" w:cs="Arial"/>
          <w:u w:val="single"/>
        </w:rPr>
        <w:lastRenderedPageBreak/>
        <w:t xml:space="preserve">GHG Bid Cap - Negotiated Cost Option: </w:t>
      </w:r>
    </w:p>
    <w:p w14:paraId="1F7D20D1"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negotiated rate option is a less commonly used option. It may be used for new participating resources that do not have an emission rate registered with the regulatory authority in assessing GHG compliance obligations or that otherwise find the variable option insufficient. Because of CAISO software limitations, the negotiated rate can only be structured as a variable value (i.e. one that is dynamic depending on the GHG allowance price) or a static value (i.e. a set $/MWh value that does not change </w:t>
      </w:r>
      <w:proofErr w:type="gramStart"/>
      <w:r w:rsidRPr="00746F54">
        <w:rPr>
          <w:rFonts w:ascii="Arial" w:eastAsia="Calibri" w:hAnsi="Arial" w:cs="Arial"/>
        </w:rPr>
        <w:t>on a daily basis</w:t>
      </w:r>
      <w:proofErr w:type="gramEnd"/>
      <w:r w:rsidRPr="00746F54">
        <w:rPr>
          <w:rFonts w:ascii="Arial" w:eastAsia="Calibri" w:hAnsi="Arial" w:cs="Arial"/>
        </w:rPr>
        <w:t>). A scheduling coordinator wishing to negotiate a GHG bid cap may contact the CAISO by submitting a CIDI ticket with Case Record Type “Negotiated Rate Application” and Application Type “Other”.</w:t>
      </w:r>
    </w:p>
    <w:p w14:paraId="1E60B5BD" w14:textId="77777777" w:rsidR="00E4601F" w:rsidRPr="00746F54" w:rsidRDefault="00E4601F" w:rsidP="00E4601F">
      <w:pPr>
        <w:spacing w:after="240" w:line="300" w:lineRule="auto"/>
        <w:rPr>
          <w:rFonts w:ascii="Arial" w:eastAsia="Calibri" w:hAnsi="Arial" w:cs="Arial"/>
          <w:b/>
          <w:u w:val="single"/>
        </w:rPr>
      </w:pPr>
      <w:r w:rsidRPr="00746F54">
        <w:rPr>
          <w:rFonts w:ascii="Arial" w:eastAsia="Calibri" w:hAnsi="Arial" w:cs="Arial"/>
          <w:b/>
          <w:u w:val="single"/>
        </w:rPr>
        <w:t xml:space="preserve">Impact of GHG attribution process on default energy bids </w:t>
      </w:r>
    </w:p>
    <w:p w14:paraId="5CA2A1E8" w14:textId="11EEC844" w:rsidR="00E4601F" w:rsidRPr="00746F54" w:rsidRDefault="00E4601F" w:rsidP="008A5DA0">
      <w:pPr>
        <w:spacing w:after="240" w:line="300" w:lineRule="auto"/>
        <w:rPr>
          <w:rFonts w:ascii="Arial" w:eastAsia="Calibri" w:hAnsi="Arial" w:cs="Arial"/>
        </w:rPr>
      </w:pPr>
      <w:r w:rsidRPr="00746F54">
        <w:rPr>
          <w:rFonts w:ascii="Arial" w:eastAsia="Calibri" w:hAnsi="Arial" w:cs="Arial"/>
        </w:rPr>
        <w:t xml:space="preserve">The GHG market design assumes that resources located within GHG areas include the compliance costs associated with their native GHG area in their energy bid. Because of this, a resource located within a GHG area has incorporated into its default energy bid the CAISO’s estimate of its GHG compliance cost if that resource is using the variable cost option. </w:t>
      </w:r>
      <w:r w:rsidR="00474BC9">
        <w:rPr>
          <w:rFonts w:ascii="Arial" w:eastAsia="Calibri" w:hAnsi="Arial" w:cs="Arial"/>
        </w:rPr>
        <w:t>Additional information</w:t>
      </w:r>
      <w:r w:rsidR="00474BC9" w:rsidRPr="00746F54">
        <w:rPr>
          <w:rFonts w:ascii="Arial" w:eastAsia="Calibri" w:hAnsi="Arial" w:cs="Arial"/>
        </w:rPr>
        <w:t xml:space="preserve"> </w:t>
      </w:r>
      <w:r w:rsidRPr="00746F54">
        <w:rPr>
          <w:rFonts w:ascii="Arial" w:eastAsia="Calibri" w:hAnsi="Arial" w:cs="Arial"/>
        </w:rPr>
        <w:t xml:space="preserve">about default energy bids can be found in the BPM for Market Instruments, Attachment D. As described above, any compliance costs associated with serving load in a different GHG area are assumed to be captured in the GHG bid adder. </w:t>
      </w:r>
    </w:p>
    <w:p w14:paraId="662A3AE3" w14:textId="03E082D6" w:rsidR="00E4601F" w:rsidRPr="00746F54" w:rsidRDefault="00E4601F" w:rsidP="007568E3">
      <w:pPr>
        <w:pStyle w:val="Heading2"/>
        <w:rPr>
          <w:rFonts w:ascii="Arial" w:hAnsi="Arial" w:cs="Arial"/>
        </w:rPr>
      </w:pPr>
      <w:bookmarkStart w:id="248" w:name="_Toc211337983"/>
      <w:bookmarkStart w:id="249" w:name="_Toc228963743"/>
      <w:r w:rsidRPr="00746F54">
        <w:rPr>
          <w:rFonts w:ascii="Arial" w:hAnsi="Arial" w:cs="Arial"/>
        </w:rPr>
        <w:t>Consideration of Eligible GHG Capacity in Market Clearing</w:t>
      </w:r>
      <w:bookmarkEnd w:id="248"/>
      <w:bookmarkEnd w:id="249"/>
    </w:p>
    <w:p w14:paraId="3C80D670" w14:textId="4B933D1F" w:rsidR="008A5DA0" w:rsidRPr="00746F54" w:rsidRDefault="008A5DA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33.32.2</w:t>
      </w:r>
    </w:p>
    <w:p w14:paraId="1EAA1CDB" w14:textId="396A2E1F"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market clearing process limits consideration of GHG bids to eligible GHG capacity. </w:t>
      </w:r>
      <w:r w:rsidRPr="00746F54">
        <w:rPr>
          <w:rFonts w:ascii="Arial" w:hAnsi="Arial" w:cs="Arial"/>
        </w:rPr>
        <w:t xml:space="preserve">Eligible GHG capacity is the portion of a resource’s bid-in capacity that can receive a GHG award. Eligible GHG capacity can extend to the full capacity of a resource or may be limited to some portion based on the GHG bid capacity (MW) of the GHG bid adder, physical limitations, or limitations defined by the GHG market design. </w:t>
      </w:r>
    </w:p>
    <w:p w14:paraId="7F21D140" w14:textId="15C63DE0" w:rsidR="00E4601F" w:rsidRPr="00746F54" w:rsidRDefault="00E4601F" w:rsidP="00E4601F">
      <w:pPr>
        <w:pStyle w:val="Heading3"/>
        <w:rPr>
          <w:rFonts w:ascii="Arial" w:hAnsi="Arial" w:cs="Arial"/>
        </w:rPr>
      </w:pPr>
      <w:bookmarkStart w:id="250" w:name="_Toc211337984"/>
      <w:r w:rsidRPr="00746F54">
        <w:rPr>
          <w:rFonts w:ascii="Arial" w:hAnsi="Arial" w:cs="Arial"/>
        </w:rPr>
        <w:t>GHG bid capacity</w:t>
      </w:r>
      <w:bookmarkEnd w:id="250"/>
      <w:r w:rsidRPr="00746F54">
        <w:rPr>
          <w:rFonts w:ascii="Arial" w:hAnsi="Arial" w:cs="Arial"/>
        </w:rPr>
        <w:t xml:space="preserve"> </w:t>
      </w:r>
    </w:p>
    <w:p w14:paraId="25A086FB" w14:textId="1091B80F" w:rsidR="008A5DA0" w:rsidRPr="00746F54" w:rsidRDefault="008A5DA0" w:rsidP="00E4601F">
      <w:pPr>
        <w:spacing w:after="240" w:line="300" w:lineRule="auto"/>
        <w:rPr>
          <w:rFonts w:ascii="Arial" w:eastAsia="Calibri" w:hAnsi="Arial" w:cs="Arial"/>
          <w:u w:val="single"/>
        </w:rPr>
      </w:pPr>
      <w:r w:rsidRPr="00746F54">
        <w:rPr>
          <w:rFonts w:ascii="Arial" w:eastAsia="Calibri" w:hAnsi="Arial" w:cs="Arial"/>
          <w:u w:val="single"/>
        </w:rPr>
        <w:t>Reference tariff sections 33.32.2.1 and 33.32.2.4</w:t>
      </w:r>
    </w:p>
    <w:p w14:paraId="4F658055" w14:textId="086BAB8A"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GHG bid adder is a two-part bid with a GHG bid capacity (MW) quantity and a GHG bid price ($/MWh) that is submitted on an hourly basis for either or both GHG regulation areas. </w:t>
      </w:r>
      <w:r w:rsidRPr="00746F54">
        <w:rPr>
          <w:rFonts w:ascii="Arial" w:hAnsi="Arial" w:cs="Arial"/>
        </w:rPr>
        <w:t xml:space="preserve">The market optimization uses </w:t>
      </w:r>
      <w:r w:rsidRPr="00746F54">
        <w:rPr>
          <w:rFonts w:ascii="Arial" w:eastAsia="Calibri" w:hAnsi="Arial" w:cs="Arial"/>
        </w:rPr>
        <w:t xml:space="preserve">these quantities and prices to determine the portion of the resource’s energy schedule that is deemed delivered to a GHG area (i.e. its GHG award). </w:t>
      </w:r>
    </w:p>
    <w:p w14:paraId="03F90EEE"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lastRenderedPageBreak/>
        <w:t xml:space="preserve">The GHG bid capacity component of the GHG bid adder serves as the flag to the market that the scheduling coordinator has opt-ed in the identified capacity for consideration to serve demand in a GHG regulation area. A resource can choose not to serve a GHG area, offer partial capacity, or full capacity to either or both GHG areas. Preferences expressed through the GHG bid adder are separate from, and do not limit, a resource’s energy offer into the market.   </w:t>
      </w:r>
    </w:p>
    <w:p w14:paraId="04BE6FF8"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This functionality supports the voluntary nature of the GHG design. A scheduling coordinator may choose not to offer GHG capacity for any reason.  </w:t>
      </w:r>
    </w:p>
    <w:p w14:paraId="18DA36B7"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In the examples below, a 200MW resource submits bid adders for Washington and California. </w:t>
      </w:r>
    </w:p>
    <w:p w14:paraId="0671D81C" w14:textId="77777777" w:rsidR="00E4601F" w:rsidRPr="00746F54" w:rsidRDefault="00E4601F" w:rsidP="00E4601F">
      <w:pPr>
        <w:spacing w:after="240" w:line="300" w:lineRule="auto"/>
        <w:rPr>
          <w:rFonts w:ascii="Arial" w:hAnsi="Arial" w:cs="Arial"/>
          <w:b/>
        </w:rPr>
      </w:pPr>
      <w:r w:rsidRPr="00746F54">
        <w:rPr>
          <w:rFonts w:ascii="Arial" w:eastAsia="Calibri" w:hAnsi="Arial" w:cs="Arial"/>
          <w:b/>
        </w:rPr>
        <w:t xml:space="preserve">Example 1: the resource opts out of serving demand in California, and offers partial capacity to Washington  </w:t>
      </w:r>
    </w:p>
    <w:tbl>
      <w:tblPr>
        <w:tblStyle w:val="TableGrid"/>
        <w:tblW w:w="0" w:type="auto"/>
        <w:tblLook w:val="04A0" w:firstRow="1" w:lastRow="0" w:firstColumn="1" w:lastColumn="0" w:noHBand="0" w:noVBand="1"/>
      </w:tblPr>
      <w:tblGrid>
        <w:gridCol w:w="3116"/>
        <w:gridCol w:w="3117"/>
        <w:gridCol w:w="3117"/>
      </w:tblGrid>
      <w:tr w:rsidR="00E4601F" w:rsidRPr="00746F54" w14:paraId="6103927F" w14:textId="77777777" w:rsidTr="00D62922">
        <w:tc>
          <w:tcPr>
            <w:tcW w:w="3116" w:type="dxa"/>
          </w:tcPr>
          <w:p w14:paraId="587C648A" w14:textId="77777777" w:rsidR="00E4601F" w:rsidRPr="00746F54" w:rsidRDefault="00E4601F" w:rsidP="00D62922">
            <w:pPr>
              <w:pStyle w:val="ParaText"/>
              <w:rPr>
                <w:rFonts w:ascii="Arial" w:eastAsiaTheme="minorHAnsi" w:hAnsi="Arial" w:cs="Arial"/>
                <w:sz w:val="22"/>
                <w:szCs w:val="22"/>
              </w:rPr>
            </w:pPr>
          </w:p>
        </w:tc>
        <w:tc>
          <w:tcPr>
            <w:tcW w:w="3117" w:type="dxa"/>
          </w:tcPr>
          <w:p w14:paraId="3729EF14"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GHG bid capacity</w:t>
            </w:r>
          </w:p>
        </w:tc>
        <w:tc>
          <w:tcPr>
            <w:tcW w:w="3117" w:type="dxa"/>
          </w:tcPr>
          <w:p w14:paraId="5EC5B026"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 xml:space="preserve">GHG bid price </w:t>
            </w:r>
          </w:p>
        </w:tc>
      </w:tr>
      <w:tr w:rsidR="00E4601F" w:rsidRPr="00746F54" w14:paraId="5FAC3B06" w14:textId="77777777" w:rsidTr="00D62922">
        <w:tc>
          <w:tcPr>
            <w:tcW w:w="3116" w:type="dxa"/>
          </w:tcPr>
          <w:p w14:paraId="6117F32B" w14:textId="4F4DA8DF"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California GHG area</w:t>
            </w:r>
          </w:p>
        </w:tc>
        <w:tc>
          <w:tcPr>
            <w:tcW w:w="3117" w:type="dxa"/>
          </w:tcPr>
          <w:p w14:paraId="6ED89B13"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0 MW</w:t>
            </w:r>
          </w:p>
        </w:tc>
        <w:tc>
          <w:tcPr>
            <w:tcW w:w="3117" w:type="dxa"/>
          </w:tcPr>
          <w:p w14:paraId="06C21BAC"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$0/MWh</w:t>
            </w:r>
          </w:p>
        </w:tc>
      </w:tr>
      <w:tr w:rsidR="00E4601F" w:rsidRPr="00746F54" w14:paraId="663D3EC5" w14:textId="77777777" w:rsidTr="00D62922">
        <w:tc>
          <w:tcPr>
            <w:tcW w:w="3116" w:type="dxa"/>
          </w:tcPr>
          <w:p w14:paraId="6D612F17"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Washington GHG area</w:t>
            </w:r>
          </w:p>
        </w:tc>
        <w:tc>
          <w:tcPr>
            <w:tcW w:w="3117" w:type="dxa"/>
          </w:tcPr>
          <w:p w14:paraId="4458845C"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100 MW</w:t>
            </w:r>
          </w:p>
        </w:tc>
        <w:tc>
          <w:tcPr>
            <w:tcW w:w="3117" w:type="dxa"/>
          </w:tcPr>
          <w:p w14:paraId="12DA92C5"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$0/MWh</w:t>
            </w:r>
          </w:p>
        </w:tc>
      </w:tr>
    </w:tbl>
    <w:p w14:paraId="569DF60A" w14:textId="77777777" w:rsidR="00E4601F" w:rsidRPr="00746F54" w:rsidRDefault="00E4601F" w:rsidP="00E4601F">
      <w:pPr>
        <w:pStyle w:val="ParaText"/>
        <w:rPr>
          <w:rFonts w:ascii="Arial" w:hAnsi="Arial" w:cs="Arial"/>
        </w:rPr>
      </w:pPr>
    </w:p>
    <w:p w14:paraId="04F4BBBF" w14:textId="77777777" w:rsidR="00E4601F" w:rsidRPr="00746F54" w:rsidRDefault="00E4601F" w:rsidP="00E4601F">
      <w:pPr>
        <w:pStyle w:val="ParaText"/>
        <w:rPr>
          <w:rFonts w:ascii="Arial" w:hAnsi="Arial" w:cs="Arial"/>
        </w:rPr>
      </w:pPr>
      <w:r w:rsidRPr="00746F54">
        <w:rPr>
          <w:rFonts w:ascii="Arial" w:hAnsi="Arial" w:cs="Arial"/>
        </w:rPr>
        <w:t xml:space="preserve">The market will consider only non-zero GHG capacity for dispatch to serve a GHG area. The market will not consider a zero MW GHG capacity bid for dispatch to serve demand in a GHG regulation area. In example 1 above, the market would only consider the GHG bid to the Washington area for GHG attribution. The market will not consider this resource for dispatch to serve demand in the California GHG area.  </w:t>
      </w:r>
    </w:p>
    <w:p w14:paraId="3BD34742" w14:textId="77777777" w:rsidR="00E4601F" w:rsidRPr="00746F54" w:rsidRDefault="00E4601F" w:rsidP="00E4601F">
      <w:pPr>
        <w:pStyle w:val="ParaText"/>
        <w:rPr>
          <w:rFonts w:ascii="Arial" w:eastAsia="Calibri" w:hAnsi="Arial" w:cs="Arial"/>
          <w:b/>
        </w:rPr>
      </w:pPr>
      <w:r w:rsidRPr="00746F54">
        <w:rPr>
          <w:rFonts w:ascii="Arial" w:eastAsia="Calibri" w:hAnsi="Arial" w:cs="Arial"/>
          <w:b/>
        </w:rPr>
        <w:t xml:space="preserve">Example 2: Resource offers full capacity to both GHG areas </w:t>
      </w:r>
    </w:p>
    <w:tbl>
      <w:tblPr>
        <w:tblStyle w:val="TableGrid"/>
        <w:tblW w:w="0" w:type="auto"/>
        <w:tblLook w:val="04A0" w:firstRow="1" w:lastRow="0" w:firstColumn="1" w:lastColumn="0" w:noHBand="0" w:noVBand="1"/>
      </w:tblPr>
      <w:tblGrid>
        <w:gridCol w:w="3116"/>
        <w:gridCol w:w="3117"/>
        <w:gridCol w:w="3117"/>
      </w:tblGrid>
      <w:tr w:rsidR="00E4601F" w:rsidRPr="00746F54" w14:paraId="36A991B1" w14:textId="77777777" w:rsidTr="00D62922">
        <w:tc>
          <w:tcPr>
            <w:tcW w:w="3116" w:type="dxa"/>
          </w:tcPr>
          <w:p w14:paraId="336183A6" w14:textId="77777777" w:rsidR="00E4601F" w:rsidRPr="00746F54" w:rsidRDefault="00E4601F" w:rsidP="00D62922">
            <w:pPr>
              <w:pStyle w:val="ParaText"/>
              <w:rPr>
                <w:rFonts w:ascii="Arial" w:eastAsiaTheme="minorHAnsi" w:hAnsi="Arial" w:cs="Arial"/>
                <w:sz w:val="22"/>
                <w:szCs w:val="22"/>
              </w:rPr>
            </w:pPr>
          </w:p>
        </w:tc>
        <w:tc>
          <w:tcPr>
            <w:tcW w:w="3117" w:type="dxa"/>
          </w:tcPr>
          <w:p w14:paraId="3F043486"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GHG bid capacity</w:t>
            </w:r>
          </w:p>
        </w:tc>
        <w:tc>
          <w:tcPr>
            <w:tcW w:w="3117" w:type="dxa"/>
          </w:tcPr>
          <w:p w14:paraId="1F5FBB85"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 xml:space="preserve">GHG bid price </w:t>
            </w:r>
          </w:p>
        </w:tc>
      </w:tr>
      <w:tr w:rsidR="00E4601F" w:rsidRPr="00746F54" w14:paraId="506F49DB" w14:textId="77777777" w:rsidTr="00D62922">
        <w:tc>
          <w:tcPr>
            <w:tcW w:w="3116" w:type="dxa"/>
          </w:tcPr>
          <w:p w14:paraId="22470BDE"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California GHG area</w:t>
            </w:r>
          </w:p>
        </w:tc>
        <w:tc>
          <w:tcPr>
            <w:tcW w:w="3117" w:type="dxa"/>
          </w:tcPr>
          <w:p w14:paraId="1A9F11F3"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200 MW</w:t>
            </w:r>
          </w:p>
        </w:tc>
        <w:tc>
          <w:tcPr>
            <w:tcW w:w="3117" w:type="dxa"/>
          </w:tcPr>
          <w:p w14:paraId="638069FF"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$0/MWh</w:t>
            </w:r>
          </w:p>
        </w:tc>
      </w:tr>
      <w:tr w:rsidR="00E4601F" w:rsidRPr="00746F54" w14:paraId="70C7E1AA" w14:textId="77777777" w:rsidTr="00D62922">
        <w:tc>
          <w:tcPr>
            <w:tcW w:w="3116" w:type="dxa"/>
          </w:tcPr>
          <w:p w14:paraId="587137D0"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Washington GHG area</w:t>
            </w:r>
          </w:p>
        </w:tc>
        <w:tc>
          <w:tcPr>
            <w:tcW w:w="3117" w:type="dxa"/>
          </w:tcPr>
          <w:p w14:paraId="0A771DED"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200 MW</w:t>
            </w:r>
          </w:p>
        </w:tc>
        <w:tc>
          <w:tcPr>
            <w:tcW w:w="3117" w:type="dxa"/>
          </w:tcPr>
          <w:p w14:paraId="16C3CE23" w14:textId="77777777" w:rsidR="00E4601F" w:rsidRPr="00746F54" w:rsidRDefault="00E4601F" w:rsidP="00D62922">
            <w:pPr>
              <w:pStyle w:val="ParaText"/>
              <w:rPr>
                <w:rFonts w:ascii="Arial" w:eastAsiaTheme="minorHAnsi" w:hAnsi="Arial" w:cs="Arial"/>
                <w:sz w:val="22"/>
                <w:szCs w:val="22"/>
              </w:rPr>
            </w:pPr>
            <w:r w:rsidRPr="00746F54">
              <w:rPr>
                <w:rFonts w:ascii="Arial" w:eastAsiaTheme="minorHAnsi" w:hAnsi="Arial" w:cs="Arial"/>
                <w:sz w:val="22"/>
                <w:szCs w:val="22"/>
              </w:rPr>
              <w:t>$0/MWh</w:t>
            </w:r>
          </w:p>
        </w:tc>
      </w:tr>
    </w:tbl>
    <w:p w14:paraId="3F292581" w14:textId="77777777" w:rsidR="00E4601F" w:rsidRPr="00746F54" w:rsidRDefault="00E4601F" w:rsidP="00E4601F">
      <w:pPr>
        <w:pStyle w:val="ParaText"/>
        <w:rPr>
          <w:rFonts w:ascii="Arial" w:hAnsi="Arial" w:cs="Arial"/>
        </w:rPr>
      </w:pPr>
    </w:p>
    <w:p w14:paraId="28908B53" w14:textId="77777777" w:rsidR="00E4601F" w:rsidRPr="00746F54" w:rsidRDefault="00E4601F" w:rsidP="00E4601F">
      <w:pPr>
        <w:pStyle w:val="ParaText"/>
        <w:rPr>
          <w:rFonts w:ascii="Arial" w:hAnsi="Arial" w:cs="Arial"/>
        </w:rPr>
      </w:pPr>
      <w:r w:rsidRPr="00746F54">
        <w:rPr>
          <w:rFonts w:ascii="Arial" w:hAnsi="Arial" w:cs="Arial"/>
        </w:rPr>
        <w:t xml:space="preserve">If a resource offers capacity to </w:t>
      </w:r>
      <w:proofErr w:type="gramStart"/>
      <w:r w:rsidRPr="00746F54">
        <w:rPr>
          <w:rFonts w:ascii="Arial" w:hAnsi="Arial" w:cs="Arial"/>
        </w:rPr>
        <w:t>both GHG</w:t>
      </w:r>
      <w:proofErr w:type="gramEnd"/>
      <w:r w:rsidRPr="00746F54">
        <w:rPr>
          <w:rFonts w:ascii="Arial" w:hAnsi="Arial" w:cs="Arial"/>
        </w:rPr>
        <w:t xml:space="preserve"> areas, the market will optimally attribute the resource’s GHG capacity. In Example 2 above, the resource could receive a 100MW GHG award for each area. A resource cannot receive GHG awards for both areas for the same MW </w:t>
      </w:r>
      <w:r w:rsidRPr="00746F54">
        <w:rPr>
          <w:rFonts w:ascii="Arial" w:hAnsi="Arial" w:cs="Arial"/>
        </w:rPr>
        <w:lastRenderedPageBreak/>
        <w:t>capacity; to ensure this outcome, the market will apply a constraint described further in section 2.2.</w:t>
      </w:r>
    </w:p>
    <w:p w14:paraId="4C3DB13D" w14:textId="17E602A2" w:rsidR="00E4601F" w:rsidRPr="00746F54" w:rsidRDefault="00E4601F" w:rsidP="00E4601F">
      <w:pPr>
        <w:pStyle w:val="Heading4"/>
        <w:rPr>
          <w:rFonts w:ascii="Arial" w:hAnsi="Arial" w:cs="Arial"/>
        </w:rPr>
      </w:pPr>
      <w:r w:rsidRPr="00746F54">
        <w:rPr>
          <w:rFonts w:ascii="Arial" w:hAnsi="Arial" w:cs="Arial"/>
        </w:rPr>
        <w:t xml:space="preserve">Committed Capacity </w:t>
      </w:r>
    </w:p>
    <w:p w14:paraId="6DA3A73B" w14:textId="55B7AFB6" w:rsidR="008A5DA0" w:rsidRPr="00746F54" w:rsidRDefault="008A5DA0" w:rsidP="00E4601F">
      <w:pPr>
        <w:pStyle w:val="ParaText"/>
        <w:rPr>
          <w:rFonts w:ascii="Arial" w:eastAsia="Times New Roman" w:hAnsi="Arial" w:cs="Arial"/>
          <w:color w:val="000000"/>
          <w:u w:val="single"/>
        </w:rPr>
      </w:pPr>
      <w:r w:rsidRPr="00746F54">
        <w:rPr>
          <w:rFonts w:ascii="Arial" w:eastAsia="Times New Roman" w:hAnsi="Arial" w:cs="Arial"/>
          <w:color w:val="000000"/>
          <w:u w:val="single"/>
        </w:rPr>
        <w:t>Reference tariff section 33.32.2.3</w:t>
      </w:r>
    </w:p>
    <w:p w14:paraId="75C552F0" w14:textId="5AE8A914" w:rsidR="00E4601F" w:rsidRPr="00746F54" w:rsidRDefault="00E4601F" w:rsidP="00E4601F">
      <w:pPr>
        <w:pStyle w:val="ParaText"/>
        <w:rPr>
          <w:rFonts w:ascii="Arial" w:eastAsia="Times New Roman" w:hAnsi="Arial" w:cs="Arial"/>
          <w:color w:val="000000"/>
        </w:rPr>
      </w:pPr>
      <w:r w:rsidRPr="00746F54">
        <w:rPr>
          <w:rFonts w:ascii="Arial" w:eastAsia="Times New Roman" w:hAnsi="Arial" w:cs="Arial"/>
          <w:color w:val="000000"/>
        </w:rPr>
        <w:t xml:space="preserve">The GHG bid adder gives scheduling coordinators flexibility to modify the eligible capacity on an hourly basis for </w:t>
      </w:r>
      <w:proofErr w:type="gramStart"/>
      <w:r w:rsidRPr="00746F54">
        <w:rPr>
          <w:rFonts w:ascii="Arial" w:eastAsia="Times New Roman" w:hAnsi="Arial" w:cs="Arial"/>
          <w:color w:val="000000"/>
        </w:rPr>
        <w:t>both GHG</w:t>
      </w:r>
      <w:proofErr w:type="gramEnd"/>
      <w:r w:rsidRPr="00746F54">
        <w:rPr>
          <w:rFonts w:ascii="Arial" w:eastAsia="Times New Roman" w:hAnsi="Arial" w:cs="Arial"/>
          <w:color w:val="000000"/>
        </w:rPr>
        <w:t xml:space="preserve"> areas. A scheduling coordinator can also </w:t>
      </w:r>
      <w:r w:rsidR="00474BC9">
        <w:rPr>
          <w:rFonts w:ascii="Arial" w:eastAsia="Times New Roman" w:hAnsi="Arial" w:cs="Arial"/>
          <w:color w:val="000000"/>
        </w:rPr>
        <w:t xml:space="preserve">identify </w:t>
      </w:r>
      <w:r w:rsidRPr="00746F54">
        <w:rPr>
          <w:rFonts w:ascii="Arial" w:eastAsia="Times New Roman" w:hAnsi="Arial" w:cs="Arial"/>
          <w:color w:val="000000"/>
        </w:rPr>
        <w:t xml:space="preserve">capacity as committed to serving a particular GHG area, effectively adding an additional layer of preference. Any committed capacity will be reflected by an SC in GRDT to be reflected in the Master File. This will indicate which GHG Regulation Area the capacity should be associated with. This will also have validation to ensure the capacity does not exceed the resource PMAX. This capacity is then excluded from the GHG Reference Pass, allowing it to be attributed if it is economic. </w:t>
      </w:r>
    </w:p>
    <w:p w14:paraId="2E0BC2F7" w14:textId="77777777" w:rsidR="00E4601F" w:rsidRPr="00746F54" w:rsidRDefault="00E4601F" w:rsidP="00E4601F">
      <w:pPr>
        <w:pStyle w:val="Heading3"/>
        <w:rPr>
          <w:rFonts w:ascii="Arial" w:hAnsi="Arial" w:cs="Arial"/>
        </w:rPr>
      </w:pPr>
      <w:bookmarkStart w:id="251" w:name="_Toc211337985"/>
      <w:r w:rsidRPr="00746F54">
        <w:rPr>
          <w:rFonts w:ascii="Arial" w:hAnsi="Arial" w:cs="Arial"/>
        </w:rPr>
        <w:t>Maximum GHG attribution (33.32.2.2)</w:t>
      </w:r>
      <w:bookmarkEnd w:id="251"/>
    </w:p>
    <w:p w14:paraId="2A85E327" w14:textId="2CB905F0" w:rsidR="008A5DA0" w:rsidRPr="00746F54" w:rsidRDefault="008A5DA0" w:rsidP="00E4601F">
      <w:pPr>
        <w:pStyle w:val="Default"/>
        <w:spacing w:after="240" w:line="276" w:lineRule="auto"/>
        <w:rPr>
          <w:sz w:val="22"/>
          <w:szCs w:val="22"/>
          <w:u w:val="single"/>
        </w:rPr>
      </w:pPr>
      <w:r w:rsidRPr="00746F54">
        <w:rPr>
          <w:sz w:val="22"/>
          <w:szCs w:val="22"/>
          <w:u w:val="single"/>
        </w:rPr>
        <w:t>Reference tariff section 33.32.2.2</w:t>
      </w:r>
    </w:p>
    <w:p w14:paraId="1443484A" w14:textId="319B367B" w:rsidR="00E4601F" w:rsidRPr="00746F54" w:rsidRDefault="00E4601F" w:rsidP="00E4601F">
      <w:pPr>
        <w:pStyle w:val="Default"/>
        <w:spacing w:after="240" w:line="276" w:lineRule="auto"/>
        <w:rPr>
          <w:sz w:val="22"/>
          <w:szCs w:val="22"/>
        </w:rPr>
      </w:pPr>
      <w:r w:rsidRPr="00746F54">
        <w:rPr>
          <w:sz w:val="22"/>
          <w:szCs w:val="22"/>
        </w:rPr>
        <w:t xml:space="preserve">To determine eligible GHG capacity, the market will apply two limitations on GHG capacity identified by the GHG capacity bid adder to ensure market outcomes 1) reflect the physical realities of the resource and 2) align with the policy outcomes intended by the GHG market design.  </w:t>
      </w:r>
    </w:p>
    <w:p w14:paraId="7438E817" w14:textId="77777777" w:rsidR="00E4601F" w:rsidRPr="00746F54" w:rsidRDefault="00E4601F" w:rsidP="00E4601F">
      <w:pPr>
        <w:pStyle w:val="Default"/>
        <w:spacing w:after="240" w:line="276" w:lineRule="auto"/>
        <w:rPr>
          <w:sz w:val="22"/>
          <w:szCs w:val="22"/>
        </w:rPr>
      </w:pPr>
      <w:r w:rsidRPr="00746F54">
        <w:rPr>
          <w:sz w:val="22"/>
          <w:szCs w:val="22"/>
        </w:rPr>
        <w:t>Limitations based on physical realities of the resource:</w:t>
      </w:r>
    </w:p>
    <w:p w14:paraId="462CB6D0" w14:textId="77777777" w:rsidR="00E4601F" w:rsidRPr="00746F54" w:rsidRDefault="00E4601F" w:rsidP="00E4601F">
      <w:pPr>
        <w:pStyle w:val="Default"/>
        <w:numPr>
          <w:ilvl w:val="0"/>
          <w:numId w:val="48"/>
        </w:numPr>
        <w:spacing w:after="240" w:line="276" w:lineRule="auto"/>
        <w:rPr>
          <w:sz w:val="22"/>
          <w:szCs w:val="22"/>
        </w:rPr>
      </w:pPr>
      <w:r w:rsidRPr="00746F54">
        <w:rPr>
          <w:sz w:val="22"/>
          <w:szCs w:val="22"/>
          <w:u w:val="single"/>
        </w:rPr>
        <w:t>GHG awards must be positive: T</w:t>
      </w:r>
      <w:r w:rsidRPr="00746F54">
        <w:rPr>
          <w:sz w:val="22"/>
          <w:szCs w:val="22"/>
        </w:rPr>
        <w:t>his limitation is imposed because the GHG awards represents deliveries into California BAAs and therefore must be non-negative.</w:t>
      </w:r>
    </w:p>
    <w:p w14:paraId="3C6E182A" w14:textId="77777777" w:rsidR="00E4601F" w:rsidRPr="00746F54" w:rsidRDefault="00E4601F" w:rsidP="00E4601F">
      <w:pPr>
        <w:pStyle w:val="Default"/>
        <w:numPr>
          <w:ilvl w:val="0"/>
          <w:numId w:val="48"/>
        </w:numPr>
        <w:spacing w:after="240" w:line="276" w:lineRule="auto"/>
        <w:rPr>
          <w:sz w:val="22"/>
          <w:szCs w:val="22"/>
        </w:rPr>
      </w:pPr>
      <w:r w:rsidRPr="00746F54">
        <w:rPr>
          <w:sz w:val="22"/>
          <w:szCs w:val="22"/>
          <w:u w:val="single"/>
        </w:rPr>
        <w:t>GHG awards cannot exceed the resource’s total output (i.e. optimal dispatch)</w:t>
      </w:r>
      <w:r w:rsidRPr="00746F54">
        <w:rPr>
          <w:sz w:val="22"/>
          <w:szCs w:val="22"/>
        </w:rPr>
        <w:t xml:space="preserve">: this limitation ensures GHG awards are supported by energy awarded and dispatched through the market. </w:t>
      </w:r>
    </w:p>
    <w:p w14:paraId="66A1CB7D" w14:textId="77777777" w:rsidR="00E4601F" w:rsidRPr="00746F54" w:rsidRDefault="00E4601F" w:rsidP="00E4601F">
      <w:pPr>
        <w:pStyle w:val="Default"/>
        <w:spacing w:after="240" w:line="276" w:lineRule="auto"/>
        <w:rPr>
          <w:sz w:val="22"/>
          <w:szCs w:val="22"/>
        </w:rPr>
      </w:pPr>
      <w:r w:rsidRPr="00746F54">
        <w:rPr>
          <w:sz w:val="22"/>
          <w:szCs w:val="22"/>
        </w:rPr>
        <w:t xml:space="preserve">The market applies limitations to align market outcomes with outcomes intended by GHG policy. </w:t>
      </w:r>
    </w:p>
    <w:p w14:paraId="68085825" w14:textId="77777777" w:rsidR="00E4601F" w:rsidRPr="00746F54" w:rsidRDefault="00E4601F" w:rsidP="00E4601F">
      <w:pPr>
        <w:pStyle w:val="Default"/>
        <w:numPr>
          <w:ilvl w:val="0"/>
          <w:numId w:val="48"/>
        </w:numPr>
        <w:spacing w:after="240" w:line="276" w:lineRule="auto"/>
        <w:rPr>
          <w:sz w:val="22"/>
          <w:szCs w:val="22"/>
        </w:rPr>
      </w:pPr>
      <w:r w:rsidRPr="00746F54">
        <w:rPr>
          <w:sz w:val="22"/>
          <w:szCs w:val="22"/>
          <w:u w:val="single"/>
        </w:rPr>
        <w:t>GHG awards cannot exceed total GHG bid adder quantities</w:t>
      </w:r>
      <w:r w:rsidRPr="00746F54">
        <w:rPr>
          <w:sz w:val="22"/>
          <w:szCs w:val="22"/>
        </w:rPr>
        <w:t>: the GHG bid adder quantity reflects the maximum quantity of energy that the scheduling coordinator</w:t>
      </w:r>
      <w:r w:rsidRPr="00746F54" w:rsidDel="001705D8">
        <w:rPr>
          <w:sz w:val="22"/>
          <w:szCs w:val="22"/>
        </w:rPr>
        <w:t xml:space="preserve"> </w:t>
      </w:r>
      <w:r w:rsidRPr="00746F54">
        <w:rPr>
          <w:sz w:val="22"/>
          <w:szCs w:val="22"/>
        </w:rPr>
        <w:t xml:space="preserve">is willing to have delivered to that </w:t>
      </w:r>
      <w:proofErr w:type="gramStart"/>
      <w:r w:rsidRPr="00746F54">
        <w:rPr>
          <w:sz w:val="22"/>
          <w:szCs w:val="22"/>
        </w:rPr>
        <w:t>particular GHG</w:t>
      </w:r>
      <w:proofErr w:type="gramEnd"/>
      <w:r w:rsidRPr="00746F54">
        <w:rPr>
          <w:sz w:val="22"/>
          <w:szCs w:val="22"/>
        </w:rPr>
        <w:t xml:space="preserve"> area. If the GHG award exceeded this amount, the market results would not reflect the scheduling coordinator’s intention.</w:t>
      </w:r>
    </w:p>
    <w:p w14:paraId="232A6633" w14:textId="77777777" w:rsidR="00E4601F" w:rsidRPr="00746F54" w:rsidRDefault="00E4601F" w:rsidP="00E4601F">
      <w:pPr>
        <w:pStyle w:val="Default"/>
        <w:spacing w:after="240" w:line="276" w:lineRule="auto"/>
        <w:rPr>
          <w:sz w:val="22"/>
          <w:szCs w:val="22"/>
        </w:rPr>
      </w:pPr>
      <w:r w:rsidRPr="00746F54">
        <w:rPr>
          <w:sz w:val="22"/>
          <w:szCs w:val="22"/>
          <w:u w:val="single"/>
        </w:rPr>
        <w:t>GHG awards cannot exceed the difference between the resource’s upper economic limit (UEL) and the resource’s GHG counterfactual schedule</w:t>
      </w:r>
      <w:r w:rsidRPr="00746F54">
        <w:rPr>
          <w:sz w:val="22"/>
          <w:szCs w:val="22"/>
        </w:rPr>
        <w:t xml:space="preserve">: The market determines the counterfactual schedule for DAM participating resources in the GHG Reference Pass (section 2.3). This limitation is intended to minimize the frequency of the GHG award (which reflects energy </w:t>
      </w:r>
      <w:r w:rsidRPr="00746F54">
        <w:rPr>
          <w:sz w:val="22"/>
          <w:szCs w:val="22"/>
        </w:rPr>
        <w:lastRenderedPageBreak/>
        <w:t xml:space="preserve">deemed delivered to a GHG area) from utilizing the same output as the energy intended to be </w:t>
      </w:r>
      <w:proofErr w:type="gramStart"/>
      <w:r w:rsidRPr="00746F54">
        <w:rPr>
          <w:sz w:val="22"/>
          <w:szCs w:val="22"/>
        </w:rPr>
        <w:t>meet</w:t>
      </w:r>
      <w:proofErr w:type="gramEnd"/>
      <w:r w:rsidRPr="00746F54">
        <w:rPr>
          <w:sz w:val="22"/>
          <w:szCs w:val="22"/>
        </w:rPr>
        <w:t xml:space="preserve"> load outside of the GHG area. The UEL is the top MW quantity of the energy bid after accounting for applicable derates and capacity reservation for upward ancillary services (regulation up, and spinning and non-spinning reserves). The baseline that is utilized in this calculation varies between the DAM and the RTM, as well as if the resource participates in EDAM or only the WEIM. This is explained further below. However, there are instances when awards can exceed the GHG counterfactual schedule which includes: </w:t>
      </w:r>
    </w:p>
    <w:p w14:paraId="2C9F7571" w14:textId="77777777" w:rsidR="00E4601F" w:rsidRPr="00746F54" w:rsidRDefault="00E4601F" w:rsidP="00E4601F">
      <w:pPr>
        <w:pStyle w:val="Default"/>
        <w:numPr>
          <w:ilvl w:val="0"/>
          <w:numId w:val="77"/>
        </w:numPr>
        <w:spacing w:after="240" w:line="276" w:lineRule="auto"/>
        <w:rPr>
          <w:sz w:val="22"/>
          <w:szCs w:val="22"/>
        </w:rPr>
      </w:pPr>
      <w:r w:rsidRPr="00746F54">
        <w:rPr>
          <w:sz w:val="22"/>
          <w:szCs w:val="22"/>
        </w:rPr>
        <w:t>Economic Displacement (Portion may contribute to secondary dispatch)</w:t>
      </w:r>
    </w:p>
    <w:p w14:paraId="7C692B64" w14:textId="77777777" w:rsidR="00E4601F" w:rsidRPr="00746F54" w:rsidRDefault="00E4601F" w:rsidP="00E4601F">
      <w:pPr>
        <w:pStyle w:val="Default"/>
        <w:numPr>
          <w:ilvl w:val="0"/>
          <w:numId w:val="77"/>
        </w:numPr>
        <w:spacing w:after="240" w:line="276" w:lineRule="auto"/>
        <w:rPr>
          <w:sz w:val="22"/>
          <w:szCs w:val="22"/>
        </w:rPr>
      </w:pPr>
      <w:r w:rsidRPr="00746F54">
        <w:rPr>
          <w:sz w:val="22"/>
          <w:szCs w:val="22"/>
        </w:rPr>
        <w:t>Load Balancing (External Drivers)</w:t>
      </w:r>
    </w:p>
    <w:p w14:paraId="69B29622" w14:textId="77777777" w:rsidR="00E4601F" w:rsidRPr="00746F54" w:rsidRDefault="00E4601F" w:rsidP="00E4601F">
      <w:pPr>
        <w:pStyle w:val="Default"/>
        <w:numPr>
          <w:ilvl w:val="0"/>
          <w:numId w:val="77"/>
        </w:numPr>
        <w:spacing w:after="240" w:line="276" w:lineRule="auto"/>
        <w:rPr>
          <w:sz w:val="22"/>
          <w:szCs w:val="22"/>
        </w:rPr>
      </w:pPr>
      <w:r w:rsidRPr="00746F54">
        <w:rPr>
          <w:sz w:val="22"/>
          <w:szCs w:val="22"/>
        </w:rPr>
        <w:t>Ramping hourly schedules (External Drivers)</w:t>
      </w:r>
    </w:p>
    <w:p w14:paraId="03368B78" w14:textId="4975E256" w:rsidR="00E4601F" w:rsidRPr="00746F54" w:rsidRDefault="00E4601F" w:rsidP="00E4601F">
      <w:pPr>
        <w:pStyle w:val="Default"/>
        <w:spacing w:after="240" w:line="276" w:lineRule="auto"/>
        <w:rPr>
          <w:sz w:val="22"/>
          <w:szCs w:val="22"/>
        </w:rPr>
      </w:pPr>
      <w:r w:rsidRPr="00746F54">
        <w:rPr>
          <w:sz w:val="22"/>
          <w:szCs w:val="22"/>
          <w:u w:val="single"/>
        </w:rPr>
        <w:t xml:space="preserve">Total GHG awards for all GHG areas </w:t>
      </w:r>
      <w:r w:rsidR="003F76EC" w:rsidRPr="00746F54">
        <w:rPr>
          <w:sz w:val="22"/>
          <w:szCs w:val="22"/>
          <w:u w:val="single"/>
        </w:rPr>
        <w:t>cannot</w:t>
      </w:r>
      <w:r w:rsidRPr="00746F54">
        <w:rPr>
          <w:sz w:val="22"/>
          <w:szCs w:val="22"/>
          <w:u w:val="single"/>
        </w:rPr>
        <w:t xml:space="preserve"> exceed the eligible GHG capacity for the GHG area: </w:t>
      </w:r>
      <w:r w:rsidRPr="00746F54">
        <w:rPr>
          <w:sz w:val="22"/>
          <w:szCs w:val="22"/>
        </w:rPr>
        <w:t xml:space="preserve">This constraint means that the same eligible GHG capacity cannot be used to serve two different GHG areas. </w:t>
      </w:r>
    </w:p>
    <w:p w14:paraId="5E912A65" w14:textId="77777777" w:rsidR="00E4601F" w:rsidRPr="00746F54" w:rsidRDefault="00E4601F" w:rsidP="00E4601F">
      <w:pPr>
        <w:pStyle w:val="Default"/>
        <w:spacing w:after="240" w:line="276" w:lineRule="auto"/>
        <w:rPr>
          <w:rFonts w:eastAsia="Calibri"/>
          <w:sz w:val="22"/>
          <w:szCs w:val="22"/>
        </w:rPr>
      </w:pPr>
      <w:r w:rsidRPr="00746F54">
        <w:rPr>
          <w:sz w:val="22"/>
          <w:szCs w:val="22"/>
        </w:rPr>
        <w:t xml:space="preserve">Taken together, the </w:t>
      </w:r>
      <w:proofErr w:type="gramStart"/>
      <w:r w:rsidRPr="00746F54">
        <w:rPr>
          <w:sz w:val="22"/>
          <w:szCs w:val="22"/>
        </w:rPr>
        <w:t>aforementioned limitations</w:t>
      </w:r>
      <w:proofErr w:type="gramEnd"/>
      <w:r w:rsidRPr="00746F54">
        <w:rPr>
          <w:sz w:val="22"/>
          <w:szCs w:val="22"/>
        </w:rPr>
        <w:t xml:space="preserve"> can be expressed formulaically as shown below (formula assumes that there are two GHG areas: GHG area A and GHG area B).</w:t>
      </w:r>
    </w:p>
    <w:p w14:paraId="4DAE5051" w14:textId="1F742880" w:rsidR="00E4601F" w:rsidRPr="00746F54" w:rsidRDefault="00E4601F" w:rsidP="008A5DA0">
      <w:pPr>
        <w:pStyle w:val="Default"/>
        <w:spacing w:after="240" w:line="276" w:lineRule="auto"/>
        <w:jc w:val="center"/>
        <w:rPr>
          <w:i/>
          <w:sz w:val="22"/>
          <w:szCs w:val="22"/>
        </w:rPr>
      </w:pPr>
      <w:r w:rsidRPr="00746F54">
        <w:rPr>
          <w:i/>
          <w:sz w:val="22"/>
          <w:szCs w:val="22"/>
        </w:rPr>
        <w:t xml:space="preserve">Eligible GHG </w:t>
      </w:r>
      <w:proofErr w:type="spellStart"/>
      <w:r w:rsidRPr="00746F54">
        <w:rPr>
          <w:i/>
          <w:sz w:val="22"/>
          <w:szCs w:val="22"/>
        </w:rPr>
        <w:t>capacity</w:t>
      </w:r>
      <w:r w:rsidRPr="00746F54">
        <w:rPr>
          <w:i/>
          <w:sz w:val="22"/>
          <w:szCs w:val="22"/>
          <w:vertAlign w:val="subscript"/>
        </w:rPr>
        <w:t>A</w:t>
      </w:r>
      <w:proofErr w:type="spellEnd"/>
      <w:r w:rsidRPr="00746F54">
        <w:rPr>
          <w:i/>
          <w:sz w:val="22"/>
          <w:szCs w:val="22"/>
        </w:rPr>
        <w:t xml:space="preserve"> (MW) = max(0, min[Optimal Dispatch, GHG </w:t>
      </w:r>
      <w:proofErr w:type="spellStart"/>
      <w:r w:rsidRPr="00746F54">
        <w:rPr>
          <w:i/>
          <w:sz w:val="22"/>
          <w:szCs w:val="22"/>
        </w:rPr>
        <w:t>Bid</w:t>
      </w:r>
      <w:r w:rsidRPr="00746F54">
        <w:rPr>
          <w:i/>
          <w:sz w:val="22"/>
          <w:szCs w:val="22"/>
          <w:vertAlign w:val="subscript"/>
        </w:rPr>
        <w:t>A</w:t>
      </w:r>
      <w:proofErr w:type="spellEnd"/>
      <w:r w:rsidRPr="00746F54">
        <w:rPr>
          <w:i/>
          <w:sz w:val="22"/>
          <w:szCs w:val="22"/>
        </w:rPr>
        <w:t xml:space="preserve">, UEL - baseline] – GHG </w:t>
      </w:r>
      <w:proofErr w:type="spellStart"/>
      <w:r w:rsidRPr="00746F54">
        <w:rPr>
          <w:i/>
          <w:sz w:val="22"/>
          <w:szCs w:val="22"/>
        </w:rPr>
        <w:t>Award</w:t>
      </w:r>
      <w:r w:rsidRPr="00746F54">
        <w:rPr>
          <w:i/>
          <w:sz w:val="22"/>
          <w:szCs w:val="22"/>
          <w:vertAlign w:val="subscript"/>
        </w:rPr>
        <w:t>B</w:t>
      </w:r>
      <w:proofErr w:type="spellEnd"/>
      <w:r w:rsidRPr="00746F54">
        <w:rPr>
          <w:i/>
          <w:sz w:val="22"/>
          <w:szCs w:val="22"/>
        </w:rPr>
        <w:t>)</w:t>
      </w:r>
    </w:p>
    <w:p w14:paraId="334C03C0" w14:textId="77777777" w:rsidR="00E4601F" w:rsidRPr="00746F54" w:rsidRDefault="00E4601F" w:rsidP="00E4601F">
      <w:pPr>
        <w:pStyle w:val="Heading4"/>
        <w:rPr>
          <w:rFonts w:ascii="Arial" w:hAnsi="Arial" w:cs="Arial"/>
        </w:rPr>
      </w:pPr>
      <w:r w:rsidRPr="00746F54">
        <w:rPr>
          <w:rFonts w:ascii="Arial" w:hAnsi="Arial" w:cs="Arial"/>
        </w:rPr>
        <w:t xml:space="preserve">GHG Counterfactual </w:t>
      </w:r>
    </w:p>
    <w:p w14:paraId="0638ABCE" w14:textId="77777777" w:rsidR="00E4601F" w:rsidRPr="00746F54" w:rsidRDefault="00E4601F" w:rsidP="00E4601F">
      <w:pPr>
        <w:pStyle w:val="Default"/>
        <w:spacing w:after="240" w:line="276" w:lineRule="auto"/>
        <w:rPr>
          <w:sz w:val="22"/>
          <w:szCs w:val="22"/>
        </w:rPr>
      </w:pPr>
      <w:r w:rsidRPr="00746F54">
        <w:rPr>
          <w:sz w:val="22"/>
          <w:szCs w:val="22"/>
        </w:rPr>
        <w:t xml:space="preserve">To reduce the potential for secondary dispatch, the EDAM and WEIM will attempt to consider only energy incrementally dispatched </w:t>
      </w:r>
      <w:proofErr w:type="gramStart"/>
      <w:r w:rsidRPr="00746F54">
        <w:rPr>
          <w:sz w:val="22"/>
          <w:szCs w:val="22"/>
        </w:rPr>
        <w:t>as a consequence of</w:t>
      </w:r>
      <w:proofErr w:type="gramEnd"/>
      <w:r w:rsidRPr="00746F54">
        <w:rPr>
          <w:sz w:val="22"/>
          <w:szCs w:val="22"/>
        </w:rPr>
        <w:t xml:space="preserve"> demand in a GHG area to be eligible for import into a GHG area. The market uses a counterfactual approach to identify capacity that would most likely be serving the non-GHG area in the full market run. The counterfactual is an estimate of the amount of energy needed from a resource to meet load requirements outside of the GHG area. Capacity dispatched above the counterfactual is considered eligible for GHG attribution.</w:t>
      </w:r>
    </w:p>
    <w:p w14:paraId="4723A326" w14:textId="77777777" w:rsidR="00E4601F" w:rsidRPr="00746F54" w:rsidRDefault="00E4601F" w:rsidP="00E4601F">
      <w:pPr>
        <w:pStyle w:val="Default"/>
        <w:spacing w:after="240" w:line="276" w:lineRule="auto"/>
        <w:rPr>
          <w:sz w:val="22"/>
          <w:szCs w:val="22"/>
        </w:rPr>
      </w:pPr>
      <w:r w:rsidRPr="00746F54">
        <w:rPr>
          <w:sz w:val="22"/>
          <w:szCs w:val="22"/>
        </w:rPr>
        <w:t xml:space="preserve">The counterfactual is necessarily an estimate, and differences always arise between the establishment of the counterfactual and the market pass that determines GHG awards. Why </w:t>
      </w:r>
      <w:proofErr w:type="gramStart"/>
      <w:r w:rsidRPr="00746F54">
        <w:rPr>
          <w:sz w:val="22"/>
          <w:szCs w:val="22"/>
        </w:rPr>
        <w:t>these</w:t>
      </w:r>
      <w:proofErr w:type="gramEnd"/>
      <w:r w:rsidRPr="00746F54">
        <w:rPr>
          <w:sz w:val="22"/>
          <w:szCs w:val="22"/>
        </w:rPr>
        <w:t xml:space="preserve"> differences arise and to what extent is different depending on the counterfactual method. </w:t>
      </w:r>
    </w:p>
    <w:p w14:paraId="3D36D42D" w14:textId="77777777" w:rsidR="00E4601F" w:rsidRPr="00746F54" w:rsidRDefault="00E4601F" w:rsidP="00E4601F">
      <w:pPr>
        <w:pStyle w:val="Default"/>
        <w:spacing w:after="240" w:line="276" w:lineRule="auto"/>
        <w:rPr>
          <w:sz w:val="22"/>
          <w:szCs w:val="22"/>
        </w:rPr>
      </w:pPr>
      <w:r w:rsidRPr="00746F54">
        <w:rPr>
          <w:sz w:val="22"/>
          <w:szCs w:val="22"/>
        </w:rPr>
        <w:t xml:space="preserve">The counterfactual is different depending on if the entity is an EDAM entity or WEIM entity. It also differs depending on the market run. For an EDAM entity in the day-ahead market, the market determines the counterfactual using an optimized GHG Reference Pass (described in section 2.3). For an EDAM entity in the RTM, the market uses the IFM results to determine the counterfactual for day-ahead participating resources. For entities that are only in the WEIM, the </w:t>
      </w:r>
      <w:r w:rsidRPr="00746F54">
        <w:rPr>
          <w:sz w:val="22"/>
          <w:szCs w:val="22"/>
        </w:rPr>
        <w:lastRenderedPageBreak/>
        <w:t xml:space="preserve">ISO will continue to use self-submitted base schedule as the counterfactual for WEIM-only resources. </w:t>
      </w:r>
    </w:p>
    <w:p w14:paraId="7B76A759" w14:textId="77777777" w:rsidR="00E4601F" w:rsidRPr="00746F54" w:rsidRDefault="00E4601F" w:rsidP="00E4601F">
      <w:pPr>
        <w:pStyle w:val="Default"/>
        <w:spacing w:after="240" w:line="276" w:lineRule="auto"/>
        <w:rPr>
          <w:sz w:val="22"/>
          <w:szCs w:val="22"/>
        </w:rPr>
      </w:pPr>
      <w:r w:rsidRPr="00746F54">
        <w:rPr>
          <w:sz w:val="22"/>
          <w:szCs w:val="22"/>
        </w:rPr>
        <w:t>The table below summarizes how baseline quantity is determined:</w:t>
      </w:r>
    </w:p>
    <w:tbl>
      <w:tblPr>
        <w:tblStyle w:val="TableGrid"/>
        <w:tblW w:w="0" w:type="auto"/>
        <w:tblLook w:val="04A0" w:firstRow="1" w:lastRow="0" w:firstColumn="1" w:lastColumn="0" w:noHBand="0" w:noVBand="1"/>
      </w:tblPr>
      <w:tblGrid>
        <w:gridCol w:w="2065"/>
        <w:gridCol w:w="3240"/>
        <w:gridCol w:w="4045"/>
      </w:tblGrid>
      <w:tr w:rsidR="00E4601F" w:rsidRPr="00746F54" w14:paraId="0CE4E5E9" w14:textId="77777777" w:rsidTr="00D62922">
        <w:tc>
          <w:tcPr>
            <w:tcW w:w="2065" w:type="dxa"/>
            <w:tcBorders>
              <w:top w:val="nil"/>
              <w:left w:val="nil"/>
            </w:tcBorders>
          </w:tcPr>
          <w:p w14:paraId="11FEFBD8" w14:textId="77777777" w:rsidR="00E4601F" w:rsidRPr="00746F54" w:rsidRDefault="00E4601F" w:rsidP="00D62922">
            <w:pPr>
              <w:pStyle w:val="Default"/>
              <w:spacing w:line="276" w:lineRule="auto"/>
              <w:jc w:val="left"/>
              <w:rPr>
                <w:sz w:val="22"/>
                <w:szCs w:val="22"/>
              </w:rPr>
            </w:pPr>
          </w:p>
        </w:tc>
        <w:tc>
          <w:tcPr>
            <w:tcW w:w="3240" w:type="dxa"/>
            <w:shd w:val="clear" w:color="auto" w:fill="D9D9D9" w:themeFill="background1" w:themeFillShade="D9"/>
          </w:tcPr>
          <w:p w14:paraId="7E104057" w14:textId="77777777" w:rsidR="00E4601F" w:rsidRPr="00746F54" w:rsidRDefault="00E4601F" w:rsidP="00D62922">
            <w:pPr>
              <w:pStyle w:val="Default"/>
              <w:spacing w:line="276" w:lineRule="auto"/>
              <w:jc w:val="center"/>
              <w:rPr>
                <w:sz w:val="22"/>
                <w:szCs w:val="22"/>
              </w:rPr>
            </w:pPr>
            <w:r w:rsidRPr="00746F54">
              <w:rPr>
                <w:sz w:val="22"/>
                <w:szCs w:val="22"/>
              </w:rPr>
              <w:t>DAM</w:t>
            </w:r>
          </w:p>
        </w:tc>
        <w:tc>
          <w:tcPr>
            <w:tcW w:w="4045" w:type="dxa"/>
            <w:shd w:val="clear" w:color="auto" w:fill="D9D9D9" w:themeFill="background1" w:themeFillShade="D9"/>
          </w:tcPr>
          <w:p w14:paraId="5081569F" w14:textId="77777777" w:rsidR="00E4601F" w:rsidRPr="00746F54" w:rsidRDefault="00E4601F" w:rsidP="00D62922">
            <w:pPr>
              <w:pStyle w:val="Default"/>
              <w:spacing w:line="276" w:lineRule="auto"/>
              <w:jc w:val="center"/>
              <w:rPr>
                <w:sz w:val="22"/>
                <w:szCs w:val="22"/>
              </w:rPr>
            </w:pPr>
            <w:r w:rsidRPr="00746F54">
              <w:rPr>
                <w:sz w:val="22"/>
                <w:szCs w:val="22"/>
              </w:rPr>
              <w:t>RTM</w:t>
            </w:r>
          </w:p>
        </w:tc>
      </w:tr>
      <w:tr w:rsidR="00E4601F" w:rsidRPr="00746F54" w14:paraId="7A83AD61" w14:textId="77777777" w:rsidTr="00D62922">
        <w:tc>
          <w:tcPr>
            <w:tcW w:w="2065" w:type="dxa"/>
          </w:tcPr>
          <w:p w14:paraId="4454CE72" w14:textId="77777777" w:rsidR="00E4601F" w:rsidRPr="00746F54" w:rsidRDefault="00E4601F" w:rsidP="00D62922">
            <w:pPr>
              <w:pStyle w:val="Default"/>
              <w:spacing w:line="276" w:lineRule="auto"/>
              <w:jc w:val="left"/>
              <w:rPr>
                <w:sz w:val="22"/>
                <w:szCs w:val="22"/>
              </w:rPr>
            </w:pPr>
            <w:r w:rsidRPr="00746F54">
              <w:rPr>
                <w:sz w:val="22"/>
                <w:szCs w:val="22"/>
              </w:rPr>
              <w:t>EDAM resource</w:t>
            </w:r>
          </w:p>
        </w:tc>
        <w:tc>
          <w:tcPr>
            <w:tcW w:w="3240" w:type="dxa"/>
          </w:tcPr>
          <w:p w14:paraId="0480CB1A" w14:textId="77777777" w:rsidR="00E4601F" w:rsidRPr="00746F54" w:rsidRDefault="00E4601F" w:rsidP="00D62922">
            <w:pPr>
              <w:pStyle w:val="Default"/>
              <w:spacing w:line="276" w:lineRule="auto"/>
              <w:jc w:val="center"/>
              <w:rPr>
                <w:sz w:val="22"/>
                <w:szCs w:val="22"/>
              </w:rPr>
            </w:pPr>
            <w:r w:rsidRPr="00746F54">
              <w:rPr>
                <w:sz w:val="22"/>
                <w:szCs w:val="22"/>
              </w:rPr>
              <w:t xml:space="preserve">GHG Reference Pass </w:t>
            </w:r>
          </w:p>
        </w:tc>
        <w:tc>
          <w:tcPr>
            <w:tcW w:w="4045" w:type="dxa"/>
          </w:tcPr>
          <w:p w14:paraId="5BFC5632" w14:textId="77777777" w:rsidR="00E4601F" w:rsidRPr="00746F54" w:rsidRDefault="00E4601F" w:rsidP="00D62922">
            <w:pPr>
              <w:pStyle w:val="Default"/>
              <w:spacing w:line="276" w:lineRule="auto"/>
              <w:jc w:val="center"/>
              <w:rPr>
                <w:sz w:val="22"/>
                <w:szCs w:val="22"/>
              </w:rPr>
            </w:pPr>
            <w:r w:rsidRPr="00746F54">
              <w:rPr>
                <w:sz w:val="22"/>
                <w:szCs w:val="22"/>
              </w:rPr>
              <w:t xml:space="preserve">Day-Ahead Energy Award – </w:t>
            </w:r>
            <w:r w:rsidRPr="00746F54" w:rsidDel="00750440">
              <w:rPr>
                <w:sz w:val="22"/>
                <w:szCs w:val="22"/>
              </w:rPr>
              <w:t>Day</w:t>
            </w:r>
            <w:r w:rsidRPr="00746F54">
              <w:rPr>
                <w:sz w:val="22"/>
                <w:szCs w:val="22"/>
              </w:rPr>
              <w:t xml:space="preserve">-Ahead GHG Award </w:t>
            </w:r>
          </w:p>
        </w:tc>
      </w:tr>
      <w:tr w:rsidR="00E4601F" w:rsidRPr="00746F54" w14:paraId="604F7B6C" w14:textId="77777777" w:rsidTr="00D62922">
        <w:tc>
          <w:tcPr>
            <w:tcW w:w="2065" w:type="dxa"/>
          </w:tcPr>
          <w:p w14:paraId="289F4DB0" w14:textId="77777777" w:rsidR="00E4601F" w:rsidRPr="00746F54" w:rsidRDefault="00E4601F" w:rsidP="00D62922">
            <w:pPr>
              <w:pStyle w:val="Default"/>
              <w:spacing w:line="276" w:lineRule="auto"/>
              <w:jc w:val="left"/>
              <w:rPr>
                <w:sz w:val="22"/>
                <w:szCs w:val="22"/>
              </w:rPr>
            </w:pPr>
            <w:r w:rsidRPr="00746F54">
              <w:rPr>
                <w:sz w:val="22"/>
                <w:szCs w:val="22"/>
              </w:rPr>
              <w:t>WEIM-only resource</w:t>
            </w:r>
          </w:p>
        </w:tc>
        <w:tc>
          <w:tcPr>
            <w:tcW w:w="3240" w:type="dxa"/>
          </w:tcPr>
          <w:p w14:paraId="02741EB3" w14:textId="77777777" w:rsidR="00E4601F" w:rsidRPr="00746F54" w:rsidRDefault="00E4601F" w:rsidP="00D62922">
            <w:pPr>
              <w:pStyle w:val="Default"/>
              <w:spacing w:line="276" w:lineRule="auto"/>
              <w:jc w:val="center"/>
              <w:rPr>
                <w:sz w:val="22"/>
                <w:szCs w:val="22"/>
              </w:rPr>
            </w:pPr>
            <w:r w:rsidRPr="00746F54">
              <w:rPr>
                <w:sz w:val="22"/>
                <w:szCs w:val="22"/>
              </w:rPr>
              <w:t>N/A; WEIM is RTM-only</w:t>
            </w:r>
          </w:p>
        </w:tc>
        <w:tc>
          <w:tcPr>
            <w:tcW w:w="4045" w:type="dxa"/>
          </w:tcPr>
          <w:p w14:paraId="3BCA70A0" w14:textId="77777777" w:rsidR="00E4601F" w:rsidRPr="00746F54" w:rsidRDefault="00E4601F" w:rsidP="00D62922">
            <w:pPr>
              <w:pStyle w:val="Default"/>
              <w:spacing w:line="276" w:lineRule="auto"/>
              <w:jc w:val="center"/>
              <w:rPr>
                <w:sz w:val="22"/>
                <w:szCs w:val="22"/>
              </w:rPr>
            </w:pPr>
            <w:r w:rsidRPr="00746F54">
              <w:rPr>
                <w:sz w:val="22"/>
                <w:szCs w:val="22"/>
              </w:rPr>
              <w:t>Base schedule</w:t>
            </w:r>
          </w:p>
        </w:tc>
      </w:tr>
    </w:tbl>
    <w:p w14:paraId="643ED226" w14:textId="77777777" w:rsidR="00E4601F" w:rsidRPr="00746F54" w:rsidRDefault="00E4601F" w:rsidP="00E4601F">
      <w:pPr>
        <w:pStyle w:val="Default"/>
        <w:spacing w:line="276" w:lineRule="auto"/>
        <w:rPr>
          <w:sz w:val="22"/>
          <w:szCs w:val="22"/>
        </w:rPr>
      </w:pPr>
    </w:p>
    <w:p w14:paraId="5910D591" w14:textId="77777777" w:rsidR="00E4601F" w:rsidRPr="00746F54" w:rsidRDefault="00E4601F" w:rsidP="00E4601F">
      <w:pPr>
        <w:pStyle w:val="Default"/>
        <w:numPr>
          <w:ilvl w:val="0"/>
          <w:numId w:val="49"/>
        </w:numPr>
        <w:spacing w:after="240" w:line="276" w:lineRule="auto"/>
        <w:rPr>
          <w:sz w:val="22"/>
          <w:szCs w:val="22"/>
        </w:rPr>
      </w:pPr>
      <w:r w:rsidRPr="00746F54">
        <w:rPr>
          <w:sz w:val="22"/>
          <w:szCs w:val="22"/>
          <w:u w:val="single"/>
        </w:rPr>
        <w:t>DAM counterfactual for EDAM resources</w:t>
      </w:r>
      <w:r w:rsidRPr="00746F54">
        <w:rPr>
          <w:sz w:val="22"/>
          <w:szCs w:val="22"/>
        </w:rPr>
        <w:t xml:space="preserve">: The DAM counterfactual is based on the EDAM GHG Reference Pass. The GHG reference pass is a discrete DAM pass that establishes optimal non-binding energy awards for resources outside of a GHG area, </w:t>
      </w:r>
      <w:proofErr w:type="gramStart"/>
      <w:r w:rsidRPr="00746F54">
        <w:rPr>
          <w:sz w:val="22"/>
          <w:szCs w:val="22"/>
        </w:rPr>
        <w:t>provided that</w:t>
      </w:r>
      <w:proofErr w:type="gramEnd"/>
      <w:r w:rsidRPr="00746F54">
        <w:rPr>
          <w:sz w:val="22"/>
          <w:szCs w:val="22"/>
        </w:rPr>
        <w:t xml:space="preserve"> there is no net import into the GHG area from resources outside of the GHG area. In doing so, it establishes an estimated counterfactual of what a resource would have generated if it were not able to import into a GHG area. This serves as the baseline for the IFM pass in which the market determines DAM GHG awards, thus allowing the IFM to more accurately identify incrementally dispatched energy for import into a GHG area. The details of the GHG counterfactual pass are explained in greater detail below. Awards from the GHG counterfactual pass are available in CMRI.</w:t>
      </w:r>
    </w:p>
    <w:p w14:paraId="75DE0CBD" w14:textId="77777777" w:rsidR="00E4601F" w:rsidRPr="00746F54" w:rsidRDefault="00E4601F" w:rsidP="00E4601F">
      <w:pPr>
        <w:pStyle w:val="Default"/>
        <w:numPr>
          <w:ilvl w:val="0"/>
          <w:numId w:val="49"/>
        </w:numPr>
        <w:spacing w:after="240" w:line="276" w:lineRule="auto"/>
        <w:rPr>
          <w:sz w:val="22"/>
          <w:szCs w:val="22"/>
        </w:rPr>
      </w:pPr>
      <w:r w:rsidRPr="00746F54">
        <w:rPr>
          <w:sz w:val="22"/>
          <w:szCs w:val="22"/>
          <w:u w:val="single"/>
        </w:rPr>
        <w:t>RTM baseline for EDAM resources</w:t>
      </w:r>
      <w:r w:rsidRPr="00746F54">
        <w:rPr>
          <w:sz w:val="22"/>
          <w:szCs w:val="22"/>
        </w:rPr>
        <w:t xml:space="preserve">: The RTM counterfactual is based on the results of the IFM pass; it is calculated as the non-negative difference between the IFM energy award and the sum of the IFM GHG awards. The rationale for this is that the IFM energy award is the total quantity of energy the resource is expected to generate and the IFM GHG awards are the quantity of the resource’s energy that is imported into a GHG area. The remaining quantity of energy is the portion of the IFM energy award that serves load outside of a GHG area and is thereby analogous to the DAM counterfactual. </w:t>
      </w:r>
    </w:p>
    <w:p w14:paraId="1587460A" w14:textId="27928DD7" w:rsidR="00E4601F" w:rsidRPr="00746F54" w:rsidRDefault="00E4601F" w:rsidP="00E4601F">
      <w:pPr>
        <w:pStyle w:val="Default"/>
        <w:numPr>
          <w:ilvl w:val="0"/>
          <w:numId w:val="49"/>
        </w:numPr>
        <w:spacing w:after="240" w:line="276" w:lineRule="auto"/>
        <w:rPr>
          <w:sz w:val="22"/>
          <w:szCs w:val="22"/>
        </w:rPr>
      </w:pPr>
      <w:r w:rsidRPr="00746F54">
        <w:rPr>
          <w:sz w:val="22"/>
          <w:szCs w:val="22"/>
          <w:u w:val="single"/>
        </w:rPr>
        <w:t>RTM baseline for WEIM-only resources</w:t>
      </w:r>
      <w:r w:rsidRPr="00746F54">
        <w:rPr>
          <w:sz w:val="22"/>
          <w:szCs w:val="22"/>
        </w:rPr>
        <w:t xml:space="preserve">: The RTM counterfactual is based on the WEIM entity’s base schedule. In the context of the GHG attribution mechanism, resource base schedules can be thought of the SC’s estimate of the resource’s output is needed to serve load outside of GHG areas. Note that, while the DAM and RTM baseline for EDAM resources are determined </w:t>
      </w:r>
      <w:proofErr w:type="gramStart"/>
      <w:r w:rsidRPr="00746F54">
        <w:rPr>
          <w:sz w:val="22"/>
          <w:szCs w:val="22"/>
        </w:rPr>
        <w:t>as a result of</w:t>
      </w:r>
      <w:proofErr w:type="gramEnd"/>
      <w:r w:rsidRPr="00746F54">
        <w:rPr>
          <w:sz w:val="22"/>
          <w:szCs w:val="22"/>
        </w:rPr>
        <w:t xml:space="preserve"> the market, the RTM baseline for WEIM-only resources is directly determined by the SC.</w:t>
      </w:r>
    </w:p>
    <w:p w14:paraId="0196A7DB" w14:textId="77777777" w:rsidR="00E4601F" w:rsidRPr="00746F54" w:rsidRDefault="00E4601F" w:rsidP="00E4601F">
      <w:pPr>
        <w:pStyle w:val="Heading3"/>
        <w:rPr>
          <w:rFonts w:ascii="Arial" w:hAnsi="Arial" w:cs="Arial"/>
        </w:rPr>
      </w:pPr>
      <w:bookmarkStart w:id="252" w:name="_Toc211337986"/>
      <w:r w:rsidRPr="00746F54">
        <w:rPr>
          <w:rFonts w:ascii="Arial" w:hAnsi="Arial" w:cs="Arial"/>
        </w:rPr>
        <w:t>GHG Reference Pass (33.32.2.3)</w:t>
      </w:r>
      <w:bookmarkEnd w:id="252"/>
    </w:p>
    <w:p w14:paraId="05D9F1BD" w14:textId="47AA753F" w:rsidR="00D13D20" w:rsidRPr="00746F54" w:rsidRDefault="00D13D20" w:rsidP="00D13D20">
      <w:pPr>
        <w:pStyle w:val="ParaText"/>
        <w:rPr>
          <w:rFonts w:ascii="Arial" w:eastAsia="Times New Roman" w:hAnsi="Arial" w:cs="Arial"/>
          <w:color w:val="000000"/>
          <w:u w:val="single"/>
        </w:rPr>
      </w:pPr>
      <w:r w:rsidRPr="00746F54">
        <w:rPr>
          <w:rFonts w:ascii="Arial" w:eastAsia="Times New Roman" w:hAnsi="Arial" w:cs="Arial"/>
          <w:color w:val="000000"/>
          <w:u w:val="single"/>
        </w:rPr>
        <w:t>Reference tariff section 33.32.2.3</w:t>
      </w:r>
    </w:p>
    <w:p w14:paraId="0BB23535" w14:textId="5CF032CE" w:rsidR="00E4601F" w:rsidRPr="00746F54" w:rsidRDefault="00E4601F" w:rsidP="00D13D20">
      <w:pPr>
        <w:pStyle w:val="ParaText"/>
        <w:rPr>
          <w:rFonts w:ascii="Arial" w:eastAsia="Times New Roman" w:hAnsi="Arial" w:cs="Arial"/>
          <w:color w:val="000000"/>
        </w:rPr>
      </w:pPr>
      <w:r w:rsidRPr="00746F54">
        <w:rPr>
          <w:rFonts w:ascii="Arial" w:eastAsia="Times New Roman" w:hAnsi="Arial" w:cs="Arial"/>
          <w:color w:val="000000"/>
        </w:rPr>
        <w:t xml:space="preserve">This section describes the GHG reference pass in the EDAM, which serves as the GHG counterfactual for EDAM participating resources. The GHG counterfactual has two purposes, </w:t>
      </w:r>
      <w:r w:rsidRPr="00746F54">
        <w:rPr>
          <w:rFonts w:ascii="Arial" w:eastAsia="Times New Roman" w:hAnsi="Arial" w:cs="Arial"/>
          <w:color w:val="000000"/>
        </w:rPr>
        <w:lastRenderedPageBreak/>
        <w:t xml:space="preserve">both to 1.) reduce secondary dispatch due to GHG attributions in the IFM by limiting attribution to resource capacity not scheduled in the GHG counter-factual pass and 2.) establish a baseline to determine what dispatch would have occurred in the non-GHG regulation area without offers to serve demand in GHG regulation areas. </w:t>
      </w:r>
    </w:p>
    <w:p w14:paraId="4EAFF205" w14:textId="1778C278" w:rsidR="00E4601F" w:rsidRPr="00746F54" w:rsidRDefault="00E4601F" w:rsidP="00D13D20">
      <w:pPr>
        <w:pStyle w:val="ParaText"/>
        <w:rPr>
          <w:rFonts w:ascii="Arial" w:eastAsia="Times New Roman" w:hAnsi="Arial" w:cs="Arial"/>
          <w:color w:val="000000"/>
        </w:rPr>
      </w:pPr>
      <w:r w:rsidRPr="00746F54">
        <w:rPr>
          <w:rFonts w:ascii="Arial" w:eastAsia="Times New Roman" w:hAnsi="Arial" w:cs="Arial"/>
          <w:color w:val="000000"/>
        </w:rPr>
        <w:t xml:space="preserve">The purpose of determining what dispatch would have been, absent GHG policy, is to help regulators, if </w:t>
      </w:r>
      <w:r w:rsidR="003F76EC" w:rsidRPr="00746F54">
        <w:rPr>
          <w:rFonts w:ascii="Arial" w:eastAsia="Times New Roman" w:hAnsi="Arial" w:cs="Arial"/>
          <w:color w:val="000000"/>
        </w:rPr>
        <w:t>they</w:t>
      </w:r>
      <w:r w:rsidRPr="00746F54">
        <w:rPr>
          <w:rFonts w:ascii="Arial" w:eastAsia="Times New Roman" w:hAnsi="Arial" w:cs="Arial"/>
          <w:color w:val="000000"/>
        </w:rPr>
        <w:t xml:space="preserve"> choose, to calculate secondary dispatch. Secondary dispatch is the phenomenon where higher emitting resources outside GHG regulation areas backfill for GHG attributions of lower emitting resources to serve non-GHG regulation area demand, thereby increasing the atmospheric cost of emissions that is not captured in the market solution.</w:t>
      </w:r>
      <w:r w:rsidRPr="00746F54">
        <w:rPr>
          <w:rFonts w:ascii="Arial" w:eastAsia="Times New Roman" w:hAnsi="Arial" w:cs="Arial"/>
          <w:color w:val="000000"/>
        </w:rPr>
        <w:footnoteReference w:id="10"/>
      </w:r>
    </w:p>
    <w:p w14:paraId="4EE47EE6" w14:textId="77777777" w:rsidR="00E4601F" w:rsidRPr="00746F54" w:rsidRDefault="00E4601F" w:rsidP="00D13D20">
      <w:pPr>
        <w:pStyle w:val="ParaText"/>
        <w:rPr>
          <w:rFonts w:ascii="Arial" w:eastAsia="Times New Roman" w:hAnsi="Arial" w:cs="Arial"/>
          <w:color w:val="000000"/>
        </w:rPr>
      </w:pPr>
      <w:r w:rsidRPr="00746F54">
        <w:rPr>
          <w:rFonts w:ascii="Arial" w:eastAsia="Times New Roman" w:hAnsi="Arial" w:cs="Arial"/>
          <w:color w:val="000000"/>
        </w:rPr>
        <w:t xml:space="preserve">The GHG reference pass is a counterfactual of the IFM where there are no GHG </w:t>
      </w:r>
      <w:proofErr w:type="gramStart"/>
      <w:r w:rsidRPr="00746F54">
        <w:rPr>
          <w:rFonts w:ascii="Arial" w:eastAsia="Times New Roman" w:hAnsi="Arial" w:cs="Arial"/>
          <w:color w:val="000000"/>
        </w:rPr>
        <w:t>attributions</w:t>
      </w:r>
      <w:proofErr w:type="gramEnd"/>
      <w:r w:rsidRPr="00746F54">
        <w:rPr>
          <w:rFonts w:ascii="Arial" w:eastAsia="Times New Roman" w:hAnsi="Arial" w:cs="Arial"/>
          <w:color w:val="000000"/>
        </w:rPr>
        <w:t xml:space="preserve">, and thus no GHG regulation cost. By considering energy bids only, the GHG reference pass identifies the optimal schedules for supply resources when GHG regulation areas are not in the market footprint. The counterfactual schedules from the optimized reference pass are used to limit the respective GHG attributions in the IFM (and the MPM-IFM) to reduce the potential for secondary dispatch. The counterfactual schedules reflect the optimal solution without net import into GHG regulation areas, hence no GHG regulation cost. The GHG reference pass is identical to the MPM-IFM pass, i.e., essentially, the same problem is solved as in the IFM, but using submitted bids, and with the following important differences: </w:t>
      </w:r>
    </w:p>
    <w:p w14:paraId="2EE50DE1" w14:textId="77777777" w:rsidR="00E4601F" w:rsidRPr="00746F54" w:rsidRDefault="00E4601F" w:rsidP="00E4601F">
      <w:pPr>
        <w:pStyle w:val="ParaText"/>
        <w:numPr>
          <w:ilvl w:val="0"/>
          <w:numId w:val="74"/>
        </w:numPr>
        <w:rPr>
          <w:rFonts w:ascii="Arial" w:eastAsia="Times New Roman" w:hAnsi="Arial" w:cs="Arial"/>
          <w:color w:val="000000"/>
        </w:rPr>
      </w:pPr>
      <w:r w:rsidRPr="00746F54">
        <w:rPr>
          <w:rFonts w:ascii="Arial" w:eastAsia="Times New Roman" w:hAnsi="Arial" w:cs="Arial"/>
          <w:color w:val="000000"/>
        </w:rPr>
        <w:t>GHG bids are ignored, thus there is no GHG transfer in the import direction</w:t>
      </w:r>
    </w:p>
    <w:p w14:paraId="24523FCA" w14:textId="77777777" w:rsidR="00E4601F" w:rsidRPr="00746F54" w:rsidRDefault="00E4601F" w:rsidP="00E4601F">
      <w:pPr>
        <w:pStyle w:val="ParaText"/>
        <w:numPr>
          <w:ilvl w:val="0"/>
          <w:numId w:val="74"/>
        </w:numPr>
        <w:rPr>
          <w:rFonts w:ascii="Arial" w:eastAsia="Times New Roman" w:hAnsi="Arial" w:cs="Arial"/>
          <w:color w:val="000000"/>
        </w:rPr>
      </w:pPr>
      <w:r w:rsidRPr="00746F54">
        <w:rPr>
          <w:rFonts w:ascii="Arial" w:eastAsia="Times New Roman" w:hAnsi="Arial" w:cs="Arial"/>
          <w:color w:val="000000"/>
        </w:rPr>
        <w:t>There are additional constraints that limit the counterfactual supply schedules for resources with contractual obligations to serve demand in GHG regulation areas</w:t>
      </w:r>
    </w:p>
    <w:p w14:paraId="631B334B" w14:textId="027B7639" w:rsidR="00E4601F" w:rsidRPr="00746F54" w:rsidRDefault="00E4601F" w:rsidP="00D13D20">
      <w:pPr>
        <w:pStyle w:val="ParaText"/>
        <w:rPr>
          <w:rFonts w:ascii="Arial" w:eastAsia="Times New Roman" w:hAnsi="Arial" w:cs="Arial"/>
          <w:color w:val="000000"/>
        </w:rPr>
      </w:pPr>
      <w:r w:rsidRPr="00746F54">
        <w:rPr>
          <w:rFonts w:ascii="Arial" w:eastAsia="Times New Roman" w:hAnsi="Arial" w:cs="Arial"/>
          <w:color w:val="000000"/>
        </w:rPr>
        <w:t>This constraint reserves the contractually obligated capacity to serve demand in GHG regulation areas from receiving a counterfactual schedule so that it will be available for GHG attributions in the IFM. Contractual obligations from a resource to its own GHG regulation area, e.g., RA capacity from CISO resources, are ignored in this constraint because they are not eligible for GHG attributions for other GHG regulation areas anyway</w:t>
      </w:r>
    </w:p>
    <w:p w14:paraId="258BAF65" w14:textId="5B648FFD" w:rsidR="00E4601F" w:rsidRPr="00746F54" w:rsidRDefault="00D13D20" w:rsidP="003336BF">
      <w:pPr>
        <w:pStyle w:val="Heading2"/>
        <w:rPr>
          <w:rFonts w:ascii="Arial" w:hAnsi="Arial" w:cs="Arial"/>
        </w:rPr>
      </w:pPr>
      <w:r w:rsidRPr="00746F54">
        <w:rPr>
          <w:rFonts w:ascii="Arial" w:hAnsi="Arial" w:cs="Arial"/>
        </w:rPr>
        <w:lastRenderedPageBreak/>
        <w:t xml:space="preserve"> </w:t>
      </w:r>
      <w:bookmarkStart w:id="253" w:name="_Toc211337987"/>
      <w:bookmarkStart w:id="254" w:name="_Toc228963744"/>
      <w:r w:rsidR="00E4601F" w:rsidRPr="00746F54">
        <w:rPr>
          <w:rFonts w:ascii="Arial" w:hAnsi="Arial" w:cs="Arial"/>
        </w:rPr>
        <w:t>GHG Attribution in the IFM (tariff sections 33.32.3, 33.32.4)</w:t>
      </w:r>
      <w:bookmarkEnd w:id="253"/>
      <w:bookmarkEnd w:id="254"/>
    </w:p>
    <w:p w14:paraId="65D97E43" w14:textId="2FCA0CB7" w:rsidR="00D13D20" w:rsidRPr="00746F54" w:rsidRDefault="00D13D20" w:rsidP="00E4601F">
      <w:pPr>
        <w:contextualSpacing/>
        <w:rPr>
          <w:rFonts w:ascii="Arial" w:eastAsia="Times New Roman" w:hAnsi="Arial" w:cs="Arial"/>
          <w:color w:val="000000"/>
          <w:u w:val="single"/>
        </w:rPr>
      </w:pPr>
      <w:r w:rsidRPr="00746F54">
        <w:rPr>
          <w:rFonts w:ascii="Arial" w:eastAsia="Times New Roman" w:hAnsi="Arial" w:cs="Arial"/>
          <w:color w:val="000000"/>
          <w:u w:val="single"/>
        </w:rPr>
        <w:t>Reference tariff sections 33.32.3 and 33.32.4</w:t>
      </w:r>
    </w:p>
    <w:p w14:paraId="371027F5" w14:textId="77777777" w:rsidR="00D13D20" w:rsidRPr="00746F54" w:rsidRDefault="00D13D20" w:rsidP="00E4601F">
      <w:pPr>
        <w:contextualSpacing/>
        <w:rPr>
          <w:rFonts w:ascii="Arial" w:eastAsia="Times New Roman" w:hAnsi="Arial" w:cs="Arial"/>
          <w:color w:val="000000"/>
        </w:rPr>
      </w:pPr>
    </w:p>
    <w:p w14:paraId="7AD485C9" w14:textId="6514B10F" w:rsidR="00E4601F" w:rsidRPr="00746F54" w:rsidRDefault="00E4601F" w:rsidP="00E4601F">
      <w:pPr>
        <w:contextualSpacing/>
        <w:rPr>
          <w:rFonts w:ascii="Arial" w:eastAsia="Times New Roman" w:hAnsi="Arial" w:cs="Arial"/>
          <w:color w:val="000000"/>
        </w:rPr>
      </w:pPr>
      <w:r w:rsidRPr="00746F54">
        <w:rPr>
          <w:rFonts w:ascii="Arial" w:eastAsia="Times New Roman" w:hAnsi="Arial" w:cs="Arial"/>
          <w:color w:val="000000"/>
        </w:rPr>
        <w:t xml:space="preserve">The market co-optimizes dispatch for the GHG and non-GHG areas to achieve </w:t>
      </w:r>
      <w:proofErr w:type="gramStart"/>
      <w:r w:rsidRPr="00746F54">
        <w:rPr>
          <w:rFonts w:ascii="Arial" w:eastAsia="Times New Roman" w:hAnsi="Arial" w:cs="Arial"/>
          <w:color w:val="000000"/>
        </w:rPr>
        <w:t>a least</w:t>
      </w:r>
      <w:proofErr w:type="gramEnd"/>
      <w:r w:rsidRPr="00746F54">
        <w:rPr>
          <w:rFonts w:ascii="Arial" w:eastAsia="Times New Roman" w:hAnsi="Arial" w:cs="Arial"/>
          <w:color w:val="000000"/>
        </w:rPr>
        <w:t xml:space="preserve">-cost solution for the market footprint and a profit maximizing solution for market resources. GHG attribution is the market process that identifies which MWhs of eligible GHG capacity are deemed to serve a GHG area. Whether a resource is attributed, and to which GHG area, depends on bids as well as market conditions. </w:t>
      </w:r>
    </w:p>
    <w:p w14:paraId="461D76E4" w14:textId="77777777" w:rsidR="00E4601F" w:rsidRPr="00746F54" w:rsidRDefault="00E4601F" w:rsidP="00E4601F">
      <w:pPr>
        <w:contextualSpacing/>
        <w:rPr>
          <w:rFonts w:ascii="Arial" w:eastAsia="Times New Roman" w:hAnsi="Arial" w:cs="Arial"/>
          <w:color w:val="000000"/>
        </w:rPr>
      </w:pPr>
    </w:p>
    <w:p w14:paraId="7366E0DE" w14:textId="77777777" w:rsidR="00E4601F" w:rsidRPr="00746F54" w:rsidRDefault="00E4601F" w:rsidP="00E4601F">
      <w:pPr>
        <w:spacing w:after="240" w:line="300" w:lineRule="auto"/>
        <w:rPr>
          <w:rFonts w:ascii="Arial" w:eastAsia="Times New Roman" w:hAnsi="Arial" w:cs="Arial"/>
          <w:color w:val="000000"/>
        </w:rPr>
      </w:pPr>
      <w:r w:rsidRPr="00746F54">
        <w:rPr>
          <w:rFonts w:ascii="Arial" w:eastAsia="Times New Roman" w:hAnsi="Arial" w:cs="Arial"/>
          <w:color w:val="000000"/>
        </w:rPr>
        <w:t xml:space="preserve">The market determines the optimal net transfer for each GHG area, i.e. the total MWh import to a GHG area. The optimal net transfer is a constraint for GHG attribution; the market optimally allocates the MWhs of GHG transfers to the eligible GHG capacity of supply resources outside of the GHG area to meet the </w:t>
      </w:r>
      <w:r w:rsidRPr="00746F54">
        <w:rPr>
          <w:rFonts w:ascii="Arial" w:eastAsia="Calibri" w:hAnsi="Arial" w:cs="Arial"/>
        </w:rPr>
        <w:t>g</w:t>
      </w:r>
      <w:r w:rsidRPr="00746F54">
        <w:rPr>
          <w:rFonts w:ascii="Arial" w:hAnsi="Arial" w:cs="Arial"/>
        </w:rPr>
        <w:t>ross GHG attribution limit</w:t>
      </w:r>
      <w:r w:rsidRPr="00746F54">
        <w:rPr>
          <w:rFonts w:ascii="Arial" w:eastAsia="Times New Roman" w:hAnsi="Arial" w:cs="Arial"/>
          <w:color w:val="000000"/>
        </w:rPr>
        <w:t xml:space="preserve">. The marginal cost of GHG (MCG) is the shadow price of the </w:t>
      </w:r>
      <w:r w:rsidRPr="00746F54">
        <w:rPr>
          <w:rFonts w:ascii="Arial" w:eastAsia="Calibri" w:hAnsi="Arial" w:cs="Arial"/>
        </w:rPr>
        <w:t>g</w:t>
      </w:r>
      <w:r w:rsidRPr="00746F54">
        <w:rPr>
          <w:rFonts w:ascii="Arial" w:hAnsi="Arial" w:cs="Arial"/>
        </w:rPr>
        <w:t xml:space="preserve">ross GHG attribution limit </w:t>
      </w:r>
      <w:r w:rsidRPr="00746F54">
        <w:rPr>
          <w:rFonts w:ascii="Arial" w:eastAsia="Times New Roman" w:hAnsi="Arial" w:cs="Arial"/>
          <w:color w:val="000000"/>
        </w:rPr>
        <w:t>and reflects the incremental cost of serving the GHG area instead of the non-GHG area.</w:t>
      </w:r>
    </w:p>
    <w:p w14:paraId="4CCD8EE5" w14:textId="77777777" w:rsidR="00E4601F" w:rsidRPr="00746F54" w:rsidRDefault="00E4601F" w:rsidP="00E4601F">
      <w:pPr>
        <w:spacing w:after="240" w:line="300" w:lineRule="auto"/>
        <w:rPr>
          <w:rFonts w:ascii="Arial" w:eastAsia="Times New Roman" w:hAnsi="Arial" w:cs="Arial"/>
          <w:color w:val="000000"/>
        </w:rPr>
      </w:pPr>
      <w:r w:rsidRPr="00746F54">
        <w:rPr>
          <w:rFonts w:ascii="Arial" w:eastAsia="Times New Roman" w:hAnsi="Arial" w:cs="Arial"/>
          <w:color w:val="000000"/>
        </w:rPr>
        <w:t xml:space="preserve">The solution for the GHG area only considers offers that include the cost of GHG regulation for that area; the market considers the energy bid of </w:t>
      </w:r>
      <w:proofErr w:type="gramStart"/>
      <w:r w:rsidRPr="00746F54">
        <w:rPr>
          <w:rFonts w:ascii="Arial" w:eastAsia="Times New Roman" w:hAnsi="Arial" w:cs="Arial"/>
          <w:color w:val="000000"/>
        </w:rPr>
        <w:t>resource</w:t>
      </w:r>
      <w:proofErr w:type="gramEnd"/>
      <w:r w:rsidRPr="00746F54">
        <w:rPr>
          <w:rFonts w:ascii="Arial" w:eastAsia="Times New Roman" w:hAnsi="Arial" w:cs="Arial"/>
          <w:color w:val="000000"/>
        </w:rPr>
        <w:t xml:space="preserve"> in the GHG area, which includes regulation costs, and both the energy and GHG bid adder for resources outside the GHG regulation area. This ensures dispatch for the GHG area, and price signals for resources serving the GHG area, </w:t>
      </w:r>
      <w:proofErr w:type="gramStart"/>
      <w:r w:rsidRPr="00746F54">
        <w:rPr>
          <w:rFonts w:ascii="Arial" w:eastAsia="Times New Roman" w:hAnsi="Arial" w:cs="Arial"/>
          <w:color w:val="000000"/>
        </w:rPr>
        <w:t>reflects</w:t>
      </w:r>
      <w:proofErr w:type="gramEnd"/>
      <w:r w:rsidRPr="00746F54">
        <w:rPr>
          <w:rFonts w:ascii="Arial" w:eastAsia="Times New Roman" w:hAnsi="Arial" w:cs="Arial"/>
          <w:color w:val="000000"/>
        </w:rPr>
        <w:t xml:space="preserve"> the outcome intended by the regulation in that jurisdiction. </w:t>
      </w:r>
    </w:p>
    <w:p w14:paraId="04EFD6EA" w14:textId="341C30B8" w:rsidR="00E4601F" w:rsidRPr="00746F54" w:rsidRDefault="00E4601F" w:rsidP="00E4601F">
      <w:pPr>
        <w:spacing w:after="240" w:line="300" w:lineRule="auto"/>
        <w:rPr>
          <w:rFonts w:ascii="Arial" w:eastAsia="Times New Roman" w:hAnsi="Arial" w:cs="Arial"/>
          <w:color w:val="000000"/>
        </w:rPr>
      </w:pPr>
      <w:r w:rsidRPr="00746F54">
        <w:rPr>
          <w:rFonts w:ascii="Arial" w:eastAsia="Times New Roman" w:hAnsi="Arial" w:cs="Arial"/>
          <w:color w:val="000000"/>
        </w:rPr>
        <w:t xml:space="preserve">The market does not consider GHG bid adders in the solution for the non-GHG area. This separation </w:t>
      </w:r>
      <w:r w:rsidR="003F76EC" w:rsidRPr="00746F54">
        <w:rPr>
          <w:rFonts w:ascii="Arial" w:eastAsia="Times New Roman" w:hAnsi="Arial" w:cs="Arial"/>
          <w:color w:val="000000"/>
        </w:rPr>
        <w:t>ensures that</w:t>
      </w:r>
      <w:r w:rsidRPr="00746F54">
        <w:rPr>
          <w:rFonts w:ascii="Arial" w:eastAsia="Times New Roman" w:hAnsi="Arial" w:cs="Arial"/>
          <w:color w:val="000000"/>
        </w:rPr>
        <w:t xml:space="preserve"> load in the non-GHG area does not pay for any incremental costs associated resources in the non-GHG area deemed to serve load in a GHG regulated area. </w:t>
      </w:r>
    </w:p>
    <w:p w14:paraId="2CDECC3B" w14:textId="2DACAD75" w:rsidR="00E4601F" w:rsidRPr="00746F54" w:rsidRDefault="00E4601F" w:rsidP="00D13D20">
      <w:pPr>
        <w:pStyle w:val="Default"/>
        <w:spacing w:after="240" w:line="276" w:lineRule="auto"/>
        <w:rPr>
          <w:sz w:val="22"/>
          <w:szCs w:val="22"/>
        </w:rPr>
      </w:pPr>
      <w:r w:rsidRPr="00746F54">
        <w:rPr>
          <w:sz w:val="22"/>
          <w:szCs w:val="22"/>
        </w:rPr>
        <w:t>GHG attribution does not directly depend on the location of the resource</w:t>
      </w:r>
      <w:r w:rsidRPr="00746F54">
        <w:rPr>
          <w:sz w:val="22"/>
          <w:szCs w:val="22"/>
        </w:rPr>
        <w:footnoteReference w:id="11"/>
      </w:r>
      <w:r w:rsidRPr="00746F54">
        <w:rPr>
          <w:sz w:val="22"/>
          <w:szCs w:val="22"/>
        </w:rPr>
        <w:t xml:space="preserve">; no shift factors are used in this allocation. The market optimization already takes power flow into account to determine energy, losses, and congestion for each pricing node. GHG attribution is an accounting problem incremental to market process that determines LMPs. For GHG attribution, supply resources outside of a GHG area are only differentiated in terms of their respective energy and GHG costs, as reflected by their GHG bid adder, and not in terms of their physical location (see examples of LMPs with GHG below).  </w:t>
      </w:r>
    </w:p>
    <w:p w14:paraId="7A4DBBF6" w14:textId="6A3C56C1" w:rsidR="00E4601F" w:rsidRPr="00746F54" w:rsidRDefault="00E4601F" w:rsidP="00E4601F">
      <w:pPr>
        <w:pStyle w:val="Heading3"/>
        <w:rPr>
          <w:rFonts w:ascii="Arial" w:hAnsi="Arial" w:cs="Arial"/>
        </w:rPr>
      </w:pPr>
      <w:bookmarkStart w:id="255" w:name="_Toc211337988"/>
      <w:r w:rsidRPr="00746F54">
        <w:rPr>
          <w:rFonts w:ascii="Arial" w:hAnsi="Arial" w:cs="Arial"/>
        </w:rPr>
        <w:lastRenderedPageBreak/>
        <w:t>Gross GHG Attribution Limit</w:t>
      </w:r>
      <w:bookmarkEnd w:id="255"/>
      <w:r w:rsidRPr="00746F54">
        <w:rPr>
          <w:rFonts w:ascii="Arial" w:hAnsi="Arial" w:cs="Arial"/>
        </w:rPr>
        <w:t xml:space="preserve"> </w:t>
      </w:r>
      <w:r w:rsidR="00986BF3">
        <w:rPr>
          <w:rFonts w:ascii="Arial" w:hAnsi="Arial" w:cs="Arial"/>
        </w:rPr>
        <w:t>(GHG Net Export Constraint)</w:t>
      </w:r>
    </w:p>
    <w:p w14:paraId="47F08E63" w14:textId="0E41C0A2" w:rsidR="0007207E" w:rsidRPr="00D81D29" w:rsidRDefault="0007207E" w:rsidP="00E4601F">
      <w:pPr>
        <w:spacing w:after="240" w:line="300" w:lineRule="auto"/>
        <w:rPr>
          <w:rFonts w:ascii="Arial" w:hAnsi="Arial" w:cs="Arial"/>
        </w:rPr>
      </w:pPr>
      <w:r>
        <w:rPr>
          <w:rFonts w:ascii="Arial" w:hAnsi="Arial" w:cs="Arial"/>
          <w:b/>
          <w:bCs/>
        </w:rPr>
        <w:t>Important Note</w:t>
      </w:r>
      <w:r>
        <w:rPr>
          <w:rFonts w:ascii="Arial" w:hAnsi="Arial" w:cs="Arial"/>
        </w:rPr>
        <w:t xml:space="preserve">: The CAISO will not activate GHG net export constraint described below at the launch of EDAM.  The CAISO will provide notice of an effective date for tariff sections 33.32.5 and 29.32.1 at a future date to allow for more time to evaluate and address how to deploy the constraint effectively.  The CAISO will provide notice to stakeholders in advance of a future planned activation of the constraint.  </w:t>
      </w:r>
    </w:p>
    <w:p w14:paraId="1330D39E" w14:textId="3DA3974F" w:rsidR="00E4601F" w:rsidRPr="00746F54" w:rsidRDefault="00E4601F" w:rsidP="00E4601F">
      <w:pPr>
        <w:spacing w:after="240" w:line="300" w:lineRule="auto"/>
        <w:rPr>
          <w:rFonts w:ascii="Arial" w:eastAsia="Calibri" w:hAnsi="Arial" w:cs="Arial"/>
        </w:rPr>
      </w:pPr>
      <w:r w:rsidRPr="00746F54">
        <w:rPr>
          <w:rFonts w:ascii="Arial" w:hAnsi="Arial" w:cs="Arial"/>
        </w:rPr>
        <w:t>GHG attribution is a function of the g</w:t>
      </w:r>
      <w:r w:rsidRPr="00746F54">
        <w:rPr>
          <w:rFonts w:ascii="Arial" w:eastAsia="Calibri" w:hAnsi="Arial" w:cs="Arial"/>
        </w:rPr>
        <w:t xml:space="preserve">ross GHG attribution limit </w:t>
      </w:r>
      <w:r w:rsidR="00986BF3">
        <w:rPr>
          <w:rFonts w:ascii="Arial" w:eastAsia="Calibri" w:hAnsi="Arial" w:cs="Arial"/>
        </w:rPr>
        <w:t xml:space="preserve">which is effectuated by the GHG net export </w:t>
      </w:r>
      <w:r w:rsidRPr="00746F54">
        <w:rPr>
          <w:rFonts w:ascii="Arial" w:eastAsia="Calibri" w:hAnsi="Arial" w:cs="Arial"/>
        </w:rPr>
        <w:t>constraint</w:t>
      </w:r>
      <w:r w:rsidRPr="00746F54">
        <w:rPr>
          <w:rFonts w:ascii="Arial" w:hAnsi="Arial" w:cs="Arial"/>
        </w:rPr>
        <w:t>. The market determines the optimal net transfer for each GHG area (</w:t>
      </w:r>
      <w:r w:rsidRPr="00746F54">
        <w:rPr>
          <w:rFonts w:ascii="Arial" w:hAnsi="Arial" w:cs="Arial"/>
          <w:i/>
        </w:rPr>
        <w:t>i.e.</w:t>
      </w:r>
      <w:r w:rsidRPr="00746F54">
        <w:rPr>
          <w:rFonts w:ascii="Arial" w:hAnsi="Arial" w:cs="Arial"/>
        </w:rPr>
        <w:t xml:space="preserve"> the total MWh import to a GHG area, based on bids and market conditions). </w:t>
      </w:r>
      <w:r w:rsidRPr="00746F54">
        <w:rPr>
          <w:rFonts w:ascii="Arial" w:eastAsia="Calibri" w:hAnsi="Arial" w:cs="Arial"/>
        </w:rPr>
        <w:t xml:space="preserve">The GHG net transfer is a function of transmission and scheduling constraints but does not reflect the impact of these constraints. The GHG net transfer carries the cost of GHG regulation, which is the additional cost of what the non-GHG area is willing to pay. </w:t>
      </w:r>
    </w:p>
    <w:p w14:paraId="533302A1"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If the optimal net transfer to a GHG area is negative, i.e. the GHG area is net exporting, there will be no GHG attribution. </w:t>
      </w:r>
    </w:p>
    <w:p w14:paraId="66F8B719"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If the GHG net transfer is positive, the market optimally allocates the MWhs of GHG transfers to the eligible GHG capacity of supply resources outside of the GHG area. The total MWh of GHG awards for each GHG area is equal to the MWh of the optimal net GHG transfer. </w:t>
      </w:r>
    </w:p>
    <w:p w14:paraId="6E952766" w14:textId="35978CEE" w:rsidR="00E4601F" w:rsidRPr="00746F54" w:rsidRDefault="00E4601F" w:rsidP="00E4601F">
      <w:pPr>
        <w:pStyle w:val="Heading3"/>
        <w:rPr>
          <w:rFonts w:ascii="Arial" w:hAnsi="Arial" w:cs="Arial"/>
        </w:rPr>
      </w:pPr>
      <w:bookmarkStart w:id="256" w:name="_Toc211337989"/>
      <w:r w:rsidRPr="00746F54">
        <w:rPr>
          <w:rFonts w:ascii="Arial" w:hAnsi="Arial" w:cs="Arial"/>
        </w:rPr>
        <w:t>Marginal cost of GHG</w:t>
      </w:r>
      <w:bookmarkEnd w:id="256"/>
    </w:p>
    <w:p w14:paraId="499CA270" w14:textId="225EEB24" w:rsidR="00D13D20" w:rsidRPr="00746F54" w:rsidRDefault="00D13D2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33.32.3</w:t>
      </w:r>
    </w:p>
    <w:p w14:paraId="6B1574C7" w14:textId="21BF7949"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The MGC is used to facilitate efficient dispatch and settlement</w:t>
      </w:r>
      <w:r w:rsidRPr="00746F54">
        <w:rPr>
          <w:rStyle w:val="FootnoteReference"/>
          <w:rFonts w:ascii="Arial" w:eastAsia="Calibri" w:hAnsi="Arial" w:cs="Arial"/>
        </w:rPr>
        <w:footnoteReference w:id="12"/>
      </w:r>
      <w:r w:rsidRPr="00746F54">
        <w:rPr>
          <w:rFonts w:ascii="Arial" w:eastAsia="Calibri" w:hAnsi="Arial" w:cs="Arial"/>
        </w:rPr>
        <w:t xml:space="preserve">. It ensures that resources in </w:t>
      </w:r>
      <w:proofErr w:type="gramStart"/>
      <w:r w:rsidRPr="00746F54">
        <w:rPr>
          <w:rFonts w:ascii="Arial" w:eastAsia="Calibri" w:hAnsi="Arial" w:cs="Arial"/>
        </w:rPr>
        <w:t>a GHG</w:t>
      </w:r>
      <w:proofErr w:type="gramEnd"/>
      <w:r w:rsidRPr="00746F54">
        <w:rPr>
          <w:rFonts w:ascii="Arial" w:eastAsia="Calibri" w:hAnsi="Arial" w:cs="Arial"/>
        </w:rPr>
        <w:t xml:space="preserve"> area and external resources attributed to that GHG area face the same price signal for energy serving demand in </w:t>
      </w:r>
      <w:proofErr w:type="gramStart"/>
      <w:r w:rsidRPr="00746F54">
        <w:rPr>
          <w:rFonts w:ascii="Arial" w:eastAsia="Calibri" w:hAnsi="Arial" w:cs="Arial"/>
        </w:rPr>
        <w:t>a GHG</w:t>
      </w:r>
      <w:proofErr w:type="gramEnd"/>
      <w:r w:rsidRPr="00746F54">
        <w:rPr>
          <w:rFonts w:ascii="Arial" w:eastAsia="Calibri" w:hAnsi="Arial" w:cs="Arial"/>
        </w:rPr>
        <w:t xml:space="preserve"> area. When preferences for dispatch and prices between the GHG and non-GHG areas diverge, the MGC makes that cost separation transparent. </w:t>
      </w:r>
    </w:p>
    <w:p w14:paraId="312DF8E5"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The marginal cost of GHG (MGC) is the shadow price of the g</w:t>
      </w:r>
      <w:r w:rsidRPr="00746F54">
        <w:rPr>
          <w:rFonts w:ascii="Arial" w:hAnsi="Arial" w:cs="Arial"/>
        </w:rPr>
        <w:t>ross GHG attribution limit</w:t>
      </w:r>
      <w:r w:rsidRPr="00746F54">
        <w:rPr>
          <w:rFonts w:ascii="Arial" w:eastAsia="Calibri" w:hAnsi="Arial" w:cs="Arial"/>
        </w:rPr>
        <w:t xml:space="preserve"> and reflects the incremental cost of serving the GHG area instead of the non-GHG area. In other words, the MGC is the additional cost of a marginal export to the GHG area. If the energy cost in the GHG area is higher than for the non-GHG areas, the MGC will be a positive component of </w:t>
      </w:r>
      <w:r w:rsidRPr="00746F54">
        <w:rPr>
          <w:rFonts w:ascii="Arial" w:eastAsia="Calibri" w:hAnsi="Arial" w:cs="Arial"/>
        </w:rPr>
        <w:lastRenderedPageBreak/>
        <w:t>LMPs for pricing nodes (</w:t>
      </w:r>
      <w:proofErr w:type="spellStart"/>
      <w:r w:rsidRPr="00746F54" w:rsidDel="0087336B">
        <w:rPr>
          <w:rFonts w:ascii="Arial" w:eastAsia="Calibri" w:hAnsi="Arial" w:cs="Arial"/>
        </w:rPr>
        <w:t>Pnode</w:t>
      </w:r>
      <w:proofErr w:type="spellEnd"/>
      <w:r w:rsidRPr="00746F54">
        <w:rPr>
          <w:rFonts w:ascii="Arial" w:eastAsia="Calibri" w:hAnsi="Arial" w:cs="Arial"/>
        </w:rPr>
        <w:t xml:space="preserve">) outside the GHG area, applicable only to resources that receive a GHG attribution. </w:t>
      </w:r>
    </w:p>
    <w:p w14:paraId="0E77F5F7" w14:textId="359A5D5C"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MGC is a function of the GHG </w:t>
      </w:r>
      <w:r w:rsidRPr="00746F54">
        <w:rPr>
          <w:rFonts w:ascii="Arial" w:hAnsi="Arial" w:cs="Arial"/>
        </w:rPr>
        <w:t>attribution limit</w:t>
      </w:r>
      <w:r w:rsidRPr="00746F54">
        <w:rPr>
          <w:rFonts w:ascii="Arial" w:eastAsia="Calibri" w:hAnsi="Arial" w:cs="Arial"/>
        </w:rPr>
        <w:t xml:space="preserve"> but also the relative cost of resources eligible for attribution. If the GHG net transfer is positive but the shadow price is zero, there’s no difference in the marginal cost of energy inside and outside the GHG area so the MGC will be zero. In this case, GHG attribution will still occur but the energy component of </w:t>
      </w:r>
      <w:proofErr w:type="spellStart"/>
      <w:r w:rsidRPr="00746F54">
        <w:rPr>
          <w:rFonts w:ascii="Arial" w:eastAsia="Calibri" w:hAnsi="Arial" w:cs="Arial"/>
        </w:rPr>
        <w:t>Pnodes</w:t>
      </w:r>
      <w:proofErr w:type="spellEnd"/>
      <w:r w:rsidRPr="00746F54">
        <w:rPr>
          <w:rFonts w:ascii="Arial" w:eastAsia="Calibri" w:hAnsi="Arial" w:cs="Arial"/>
        </w:rPr>
        <w:t xml:space="preserve"> outside the GHG area reflects the cost of energy serving demand in the GHG area without an additional price signal. </w:t>
      </w:r>
      <w:r w:rsidR="00D13D20" w:rsidRPr="00746F54">
        <w:rPr>
          <w:rFonts w:ascii="Arial" w:eastAsia="Calibri" w:hAnsi="Arial" w:cs="Arial"/>
        </w:rPr>
        <w:t xml:space="preserve"> </w:t>
      </w:r>
      <w:r w:rsidRPr="00746F54">
        <w:rPr>
          <w:rFonts w:ascii="Arial" w:eastAsia="Calibri" w:hAnsi="Arial" w:cs="Arial"/>
        </w:rPr>
        <w:t>The MGC can vary between GHG areas.</w:t>
      </w:r>
    </w:p>
    <w:p w14:paraId="2B23B476" w14:textId="595DB556" w:rsidR="00E4601F" w:rsidRPr="00746F54" w:rsidRDefault="00E4601F" w:rsidP="00947B7F">
      <w:pPr>
        <w:pStyle w:val="Heading3"/>
        <w:rPr>
          <w:rFonts w:ascii="Arial" w:hAnsi="Arial" w:cs="Arial"/>
        </w:rPr>
      </w:pPr>
      <w:bookmarkStart w:id="257" w:name="_Toc211337990"/>
      <w:r w:rsidRPr="00746F54">
        <w:rPr>
          <w:rFonts w:ascii="Arial" w:hAnsi="Arial" w:cs="Arial"/>
        </w:rPr>
        <w:t>GHG awards</w:t>
      </w:r>
      <w:bookmarkEnd w:id="257"/>
    </w:p>
    <w:p w14:paraId="6639FE28" w14:textId="4A7A4D6D" w:rsidR="00D13D20" w:rsidRPr="00746F54" w:rsidRDefault="00D13D2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33.32.4</w:t>
      </w:r>
    </w:p>
    <w:p w14:paraId="13CEE165" w14:textId="76C1071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GHG award is a $/MWh financial award incremental to a portion of the resource’s energy award that also received a GHG attribution. A resource that does not receive an energy award will not receive a GHG award.  </w:t>
      </w:r>
    </w:p>
    <w:p w14:paraId="02A9A0F5"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The MGC ensures that load in a GHG area is responsible for all the GHG compliance costs associated with internal generation and GHG transfers without impacting the cost to load outside of a GHG regulation area. Load in the GHG area funds revenue to cover the MGC of attributed resources. This revenue covers all compliance costs of attributed resources reflected through the GHG $/MWh bid adder and energy costs </w:t>
      </w:r>
      <w:proofErr w:type="gramStart"/>
      <w:r w:rsidRPr="00746F54">
        <w:rPr>
          <w:rFonts w:ascii="Arial" w:eastAsia="Calibri" w:hAnsi="Arial" w:cs="Arial"/>
        </w:rPr>
        <w:t>in excess of</w:t>
      </w:r>
      <w:proofErr w:type="gramEnd"/>
      <w:r w:rsidRPr="00746F54">
        <w:rPr>
          <w:rFonts w:ascii="Arial" w:eastAsia="Calibri" w:hAnsi="Arial" w:cs="Arial"/>
        </w:rPr>
        <w:t xml:space="preserve"> the energy price at </w:t>
      </w:r>
      <w:proofErr w:type="spellStart"/>
      <w:r w:rsidRPr="00746F54">
        <w:rPr>
          <w:rFonts w:ascii="Arial" w:eastAsia="Calibri" w:hAnsi="Arial" w:cs="Arial"/>
        </w:rPr>
        <w:t>pnodes</w:t>
      </w:r>
      <w:proofErr w:type="spellEnd"/>
      <w:r w:rsidRPr="00746F54">
        <w:rPr>
          <w:rFonts w:ascii="Arial" w:eastAsia="Calibri" w:hAnsi="Arial" w:cs="Arial"/>
        </w:rPr>
        <w:t xml:space="preserve"> in the non-GHG area. </w:t>
      </w:r>
    </w:p>
    <w:p w14:paraId="4090927F"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To explain how the MCG is collected and distributed, an example is helpful. While the market design supports multiple GHG areas, assume that there are two GHG areas (GHG area A and B) and one non-GHG area:</w:t>
      </w:r>
    </w:p>
    <w:p w14:paraId="0550F486" w14:textId="77777777" w:rsidR="00E4601F" w:rsidRPr="00746F54" w:rsidRDefault="00E4601F" w:rsidP="00E4601F">
      <w:pPr>
        <w:pStyle w:val="ListParagraph"/>
        <w:numPr>
          <w:ilvl w:val="0"/>
          <w:numId w:val="48"/>
        </w:numPr>
        <w:spacing w:after="240" w:line="300" w:lineRule="auto"/>
        <w:rPr>
          <w:rFonts w:ascii="Arial" w:eastAsia="Calibri" w:hAnsi="Arial" w:cs="Arial"/>
        </w:rPr>
      </w:pPr>
      <w:r w:rsidRPr="00746F54">
        <w:rPr>
          <w:rFonts w:ascii="Arial" w:eastAsia="Calibri" w:hAnsi="Arial" w:cs="Arial"/>
        </w:rPr>
        <w:t xml:space="preserve">MCG revenues are collected from load: Load at </w:t>
      </w:r>
      <w:proofErr w:type="spellStart"/>
      <w:r w:rsidRPr="00746F54">
        <w:rPr>
          <w:rFonts w:ascii="Arial" w:eastAsia="Calibri" w:hAnsi="Arial" w:cs="Arial"/>
        </w:rPr>
        <w:t>pnodes</w:t>
      </w:r>
      <w:proofErr w:type="spellEnd"/>
      <w:r w:rsidRPr="00746F54">
        <w:rPr>
          <w:rFonts w:ascii="Arial" w:eastAsia="Calibri" w:hAnsi="Arial" w:cs="Arial"/>
        </w:rPr>
        <w:t xml:space="preserve"> located in GHG area A pays MCG</w:t>
      </w:r>
      <w:r w:rsidRPr="00746F54">
        <w:rPr>
          <w:rFonts w:ascii="Arial" w:eastAsia="Calibri" w:hAnsi="Arial" w:cs="Arial"/>
          <w:vertAlign w:val="subscript"/>
        </w:rPr>
        <w:t>A</w:t>
      </w:r>
      <w:r w:rsidRPr="00746F54">
        <w:rPr>
          <w:rFonts w:ascii="Arial" w:eastAsia="Calibri" w:hAnsi="Arial" w:cs="Arial"/>
        </w:rPr>
        <w:t xml:space="preserve"> and load at </w:t>
      </w:r>
      <w:proofErr w:type="spellStart"/>
      <w:r w:rsidRPr="00746F54">
        <w:rPr>
          <w:rFonts w:ascii="Arial" w:eastAsia="Calibri" w:hAnsi="Arial" w:cs="Arial"/>
        </w:rPr>
        <w:t>pnodes</w:t>
      </w:r>
      <w:proofErr w:type="spellEnd"/>
      <w:r w:rsidRPr="00746F54">
        <w:rPr>
          <w:rFonts w:ascii="Arial" w:eastAsia="Calibri" w:hAnsi="Arial" w:cs="Arial"/>
        </w:rPr>
        <w:t xml:space="preserve"> in GHG area B pays MCG</w:t>
      </w:r>
      <w:r w:rsidRPr="00746F54">
        <w:rPr>
          <w:rFonts w:ascii="Arial" w:eastAsia="Calibri" w:hAnsi="Arial" w:cs="Arial"/>
          <w:vertAlign w:val="subscript"/>
        </w:rPr>
        <w:t>B</w:t>
      </w:r>
      <w:r w:rsidRPr="00746F54">
        <w:rPr>
          <w:rFonts w:ascii="Arial" w:eastAsia="Calibri" w:hAnsi="Arial" w:cs="Arial"/>
        </w:rPr>
        <w:t xml:space="preserve">, while load at </w:t>
      </w:r>
      <w:proofErr w:type="spellStart"/>
      <w:r w:rsidRPr="00746F54">
        <w:rPr>
          <w:rFonts w:ascii="Arial" w:eastAsia="Calibri" w:hAnsi="Arial" w:cs="Arial"/>
        </w:rPr>
        <w:t>pnodes</w:t>
      </w:r>
      <w:proofErr w:type="spellEnd"/>
      <w:r w:rsidRPr="00746F54">
        <w:rPr>
          <w:rFonts w:ascii="Arial" w:eastAsia="Calibri" w:hAnsi="Arial" w:cs="Arial"/>
        </w:rPr>
        <w:t xml:space="preserve"> in the non-GHG area does not pay any MCG (i.e. MCG will be $0/MWh). </w:t>
      </w:r>
    </w:p>
    <w:p w14:paraId="0DC16FC1" w14:textId="77777777" w:rsidR="00E4601F" w:rsidRPr="00746F54" w:rsidRDefault="00E4601F" w:rsidP="00E4601F">
      <w:pPr>
        <w:pStyle w:val="ListParagraph"/>
        <w:numPr>
          <w:ilvl w:val="0"/>
          <w:numId w:val="48"/>
        </w:numPr>
        <w:spacing w:after="240" w:line="300" w:lineRule="auto"/>
        <w:rPr>
          <w:rFonts w:ascii="Arial" w:eastAsia="Calibri" w:hAnsi="Arial" w:cs="Arial"/>
        </w:rPr>
      </w:pPr>
      <w:r w:rsidRPr="00746F54">
        <w:rPr>
          <w:rFonts w:ascii="Arial" w:eastAsia="Calibri" w:hAnsi="Arial" w:cs="Arial"/>
        </w:rPr>
        <w:t xml:space="preserve">MCG revenues are distributed to supply: These payments go to supply at </w:t>
      </w:r>
      <w:proofErr w:type="spellStart"/>
      <w:r w:rsidRPr="00746F54">
        <w:rPr>
          <w:rFonts w:ascii="Arial" w:eastAsia="Calibri" w:hAnsi="Arial" w:cs="Arial"/>
        </w:rPr>
        <w:t>pnodes</w:t>
      </w:r>
      <w:proofErr w:type="spellEnd"/>
      <w:r w:rsidRPr="00746F54">
        <w:rPr>
          <w:rFonts w:ascii="Arial" w:eastAsia="Calibri" w:hAnsi="Arial" w:cs="Arial"/>
        </w:rPr>
        <w:t xml:space="preserve"> within GHG areas as well as supply resources that have received GHG awards. MCG</w:t>
      </w:r>
      <w:r w:rsidRPr="00746F54">
        <w:rPr>
          <w:rFonts w:ascii="Arial" w:eastAsia="Calibri" w:hAnsi="Arial" w:cs="Arial"/>
          <w:vertAlign w:val="subscript"/>
        </w:rPr>
        <w:t>A</w:t>
      </w:r>
      <w:r w:rsidRPr="00746F54">
        <w:rPr>
          <w:rFonts w:ascii="Arial" w:eastAsia="Calibri" w:hAnsi="Arial" w:cs="Arial"/>
        </w:rPr>
        <w:t xml:space="preserve"> will be paid to supply in GHG area A and MCG</w:t>
      </w:r>
      <w:r w:rsidRPr="00746F54">
        <w:rPr>
          <w:rFonts w:ascii="Arial" w:eastAsia="Calibri" w:hAnsi="Arial" w:cs="Arial"/>
          <w:vertAlign w:val="subscript"/>
        </w:rPr>
        <w:t>B</w:t>
      </w:r>
      <w:r w:rsidRPr="00746F54">
        <w:rPr>
          <w:rFonts w:ascii="Arial" w:eastAsia="Calibri" w:hAnsi="Arial" w:cs="Arial"/>
        </w:rPr>
        <w:t xml:space="preserve"> will be paid to supply in GHG area B. For resources that have received a GHG award, they will be paid the MCG for that GHG area. This can take a variety of permutations:</w:t>
      </w:r>
    </w:p>
    <w:p w14:paraId="50E905FF" w14:textId="77777777" w:rsidR="00E4601F" w:rsidRPr="00746F54" w:rsidRDefault="00E4601F" w:rsidP="00E4601F">
      <w:pPr>
        <w:pStyle w:val="ListParagraph"/>
        <w:numPr>
          <w:ilvl w:val="1"/>
          <w:numId w:val="48"/>
        </w:numPr>
        <w:spacing w:after="240" w:line="300" w:lineRule="auto"/>
        <w:rPr>
          <w:rFonts w:ascii="Arial" w:eastAsia="Calibri" w:hAnsi="Arial" w:cs="Arial"/>
        </w:rPr>
      </w:pPr>
      <w:r w:rsidRPr="00746F54">
        <w:rPr>
          <w:rFonts w:ascii="Arial" w:eastAsia="Calibri" w:hAnsi="Arial" w:cs="Arial"/>
        </w:rPr>
        <w:lastRenderedPageBreak/>
        <w:t>Supply resource located in the non-GHG area receives a 100MW GHG award for GHG area A: in this case, the resource will be paid 100MW multiplied by MCG</w:t>
      </w:r>
      <w:r w:rsidRPr="00746F54">
        <w:rPr>
          <w:rFonts w:ascii="Arial" w:eastAsia="Calibri" w:hAnsi="Arial" w:cs="Arial"/>
          <w:vertAlign w:val="subscript"/>
        </w:rPr>
        <w:t>A</w:t>
      </w:r>
      <w:r w:rsidRPr="00746F54">
        <w:rPr>
          <w:rStyle w:val="FootnoteReference"/>
          <w:rFonts w:ascii="Arial" w:eastAsia="Calibri" w:hAnsi="Arial" w:cs="Arial"/>
        </w:rPr>
        <w:footnoteReference w:id="13"/>
      </w:r>
    </w:p>
    <w:p w14:paraId="1697DB09" w14:textId="77777777" w:rsidR="00E4601F" w:rsidRPr="00746F54" w:rsidRDefault="00E4601F" w:rsidP="00E4601F">
      <w:pPr>
        <w:pStyle w:val="ListParagraph"/>
        <w:numPr>
          <w:ilvl w:val="1"/>
          <w:numId w:val="48"/>
        </w:numPr>
        <w:spacing w:after="240" w:line="300" w:lineRule="auto"/>
        <w:rPr>
          <w:rFonts w:ascii="Arial" w:eastAsia="Calibri" w:hAnsi="Arial" w:cs="Arial"/>
        </w:rPr>
      </w:pPr>
      <w:r w:rsidRPr="00746F54">
        <w:rPr>
          <w:rFonts w:ascii="Arial" w:eastAsia="Calibri" w:hAnsi="Arial" w:cs="Arial"/>
        </w:rPr>
        <w:t>Supply resource located in the GHG area A has a 150MW energy award and receives a 100MW GHG award for GHG area B: in this case, the supply resource will be paid 150MW multiplied by MCG</w:t>
      </w:r>
      <w:r w:rsidRPr="00746F54">
        <w:rPr>
          <w:rFonts w:ascii="Arial" w:eastAsia="Calibri" w:hAnsi="Arial" w:cs="Arial"/>
          <w:vertAlign w:val="subscript"/>
        </w:rPr>
        <w:t>A</w:t>
      </w:r>
      <w:r w:rsidRPr="00746F54">
        <w:rPr>
          <w:rFonts w:ascii="Arial" w:eastAsia="Calibri" w:hAnsi="Arial" w:cs="Arial"/>
        </w:rPr>
        <w:t xml:space="preserve"> (by virtue of it being located in GHG area A, thus incurring a compliance obligation for all of its output) and 100MW multiplied by MCG</w:t>
      </w:r>
      <w:r w:rsidRPr="00746F54">
        <w:rPr>
          <w:rFonts w:ascii="Arial" w:eastAsia="Calibri" w:hAnsi="Arial" w:cs="Arial"/>
          <w:vertAlign w:val="subscript"/>
        </w:rPr>
        <w:t>B</w:t>
      </w:r>
      <w:r w:rsidRPr="00746F54">
        <w:rPr>
          <w:rFonts w:ascii="Arial" w:eastAsia="Calibri" w:hAnsi="Arial" w:cs="Arial"/>
        </w:rPr>
        <w:t xml:space="preserve"> (because 100MW of its output is also considered to have been imported into GHG area B, thus incurring a compliance obligation for this portion of its output). </w:t>
      </w:r>
    </w:p>
    <w:p w14:paraId="44EA1511" w14:textId="0D3677F9" w:rsidR="00E4601F" w:rsidRPr="00746F54" w:rsidRDefault="00E4601F" w:rsidP="00E4601F">
      <w:pPr>
        <w:pStyle w:val="ListParagraph"/>
        <w:numPr>
          <w:ilvl w:val="1"/>
          <w:numId w:val="48"/>
        </w:numPr>
        <w:spacing w:after="240" w:line="300" w:lineRule="auto"/>
        <w:rPr>
          <w:rFonts w:ascii="Arial" w:eastAsia="Calibri" w:hAnsi="Arial" w:cs="Arial"/>
        </w:rPr>
      </w:pPr>
      <w:r w:rsidRPr="00746F54">
        <w:rPr>
          <w:rFonts w:ascii="Arial" w:eastAsia="Calibri" w:hAnsi="Arial" w:cs="Arial"/>
        </w:rPr>
        <w:t>Supply resource located in the non-GHG area receives a 100MW GHG award for GHG area A and a 25MW GHG award for GHG area B: in this case, the resource will be paid 100MW multiplied by MCG</w:t>
      </w:r>
      <w:r w:rsidRPr="00746F54">
        <w:rPr>
          <w:rFonts w:ascii="Arial" w:eastAsia="Calibri" w:hAnsi="Arial" w:cs="Arial"/>
          <w:vertAlign w:val="subscript"/>
        </w:rPr>
        <w:t>A</w:t>
      </w:r>
      <w:r w:rsidRPr="00746F54">
        <w:rPr>
          <w:rFonts w:ascii="Arial" w:eastAsia="Calibri" w:hAnsi="Arial" w:cs="Arial"/>
        </w:rPr>
        <w:t xml:space="preserve"> and 25MW multiplied by MCG</w:t>
      </w:r>
      <w:r w:rsidRPr="00746F54">
        <w:rPr>
          <w:rFonts w:ascii="Arial" w:eastAsia="Calibri" w:hAnsi="Arial" w:cs="Arial"/>
          <w:vertAlign w:val="subscript"/>
        </w:rPr>
        <w:t>B</w:t>
      </w:r>
      <w:r w:rsidRPr="00746F54">
        <w:rPr>
          <w:rFonts w:ascii="Arial" w:eastAsia="Calibri" w:hAnsi="Arial" w:cs="Arial"/>
        </w:rPr>
        <w:t xml:space="preserve">. </w:t>
      </w:r>
    </w:p>
    <w:p w14:paraId="6337018B" w14:textId="63A3212D" w:rsidR="00E4601F" w:rsidRPr="00746F54" w:rsidRDefault="00E4601F" w:rsidP="00E4104D">
      <w:pPr>
        <w:pStyle w:val="Heading2"/>
        <w:rPr>
          <w:rFonts w:ascii="Arial" w:hAnsi="Arial" w:cs="Arial"/>
        </w:rPr>
      </w:pPr>
      <w:bookmarkStart w:id="258" w:name="_Toc211337991"/>
      <w:bookmarkStart w:id="259" w:name="_Toc228963745"/>
      <w:r w:rsidRPr="00746F54">
        <w:rPr>
          <w:rFonts w:ascii="Arial" w:hAnsi="Arial" w:cs="Arial"/>
        </w:rPr>
        <w:t>Gross GHG Attribution Limit</w:t>
      </w:r>
      <w:bookmarkEnd w:id="258"/>
      <w:bookmarkEnd w:id="259"/>
      <w:r w:rsidRPr="00746F54">
        <w:rPr>
          <w:rFonts w:ascii="Arial" w:hAnsi="Arial" w:cs="Arial"/>
        </w:rPr>
        <w:t xml:space="preserve"> </w:t>
      </w:r>
    </w:p>
    <w:p w14:paraId="52C1D5A0" w14:textId="65D441ED" w:rsidR="00D13D20" w:rsidRPr="00746F54" w:rsidRDefault="00D13D20" w:rsidP="00E4601F">
      <w:pPr>
        <w:spacing w:after="240" w:line="300" w:lineRule="auto"/>
        <w:rPr>
          <w:rFonts w:ascii="Arial" w:eastAsia="Calibri" w:hAnsi="Arial" w:cs="Arial"/>
          <w:u w:val="single"/>
        </w:rPr>
      </w:pPr>
      <w:r w:rsidRPr="00746F54">
        <w:rPr>
          <w:rFonts w:ascii="Arial" w:eastAsia="Calibri" w:hAnsi="Arial" w:cs="Arial"/>
          <w:u w:val="single"/>
        </w:rPr>
        <w:t>Reference tariff section 33.32.5</w:t>
      </w:r>
    </w:p>
    <w:p w14:paraId="50431F91" w14:textId="4D959948"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For the day-ahead market,  the market determines GHG attribution and GHG awards as part of the IFM. The market limits eligible GHG capacity, using the GHG reference pass as an input, to ensure GHG awards do not exceed a resource’s eligible GHG capacity (as described in section 2). During the IFM, the market applies the Gross GHG Attribution Limit to further limit eligible GHG capacity, </w:t>
      </w:r>
    </w:p>
    <w:p w14:paraId="3A1ED0FF" w14:textId="77777777" w:rsidR="00E4601F" w:rsidRPr="00746F54" w:rsidRDefault="00E4601F" w:rsidP="00E4601F">
      <w:pPr>
        <w:pStyle w:val="ParaText"/>
        <w:rPr>
          <w:rFonts w:ascii="Arial" w:eastAsia="Calibri" w:hAnsi="Arial" w:cs="Arial"/>
        </w:rPr>
      </w:pPr>
      <w:r w:rsidRPr="00746F54">
        <w:rPr>
          <w:rFonts w:ascii="Arial" w:eastAsia="Calibri" w:hAnsi="Arial" w:cs="Arial"/>
        </w:rPr>
        <w:t xml:space="preserve">The </w:t>
      </w:r>
      <w:r w:rsidRPr="00746F54">
        <w:rPr>
          <w:rFonts w:ascii="Arial" w:hAnsi="Arial" w:cs="Arial"/>
        </w:rPr>
        <w:t>Gross GHG Attribution Limit (referred to as the net transfer constraint or GHG net transfer constraint during the policy phase)</w:t>
      </w:r>
      <w:r w:rsidRPr="00746F54">
        <w:rPr>
          <w:rFonts w:ascii="Arial" w:eastAsia="Calibri" w:hAnsi="Arial" w:cs="Arial"/>
        </w:rPr>
        <w:t xml:space="preserve"> is an hourly constraint in the Integrated Forward Market for areas that do not overlap with a GHG regulation area. In EDAM, the Gross GHG attribution limit is an hourly constraint that applies to every BAA that does not overlap with a GHG regulation area. When a BAA that overlaps with a GHG area (no export constraint is enforced for that BAA) fails the resource sufficiency evaluation, all net export constraints are deactivated for that hour to not restrict imports into that BAA potentially creating a reliability issue. The constraint treatment is the same in both EDAM and WEIM, except for the interval duration. In the WEIM, this constraint will be deactivated for every 15-minute interval when a BAA that overlaps with a GHG area fails the RSE, and </w:t>
      </w:r>
      <w:proofErr w:type="gramStart"/>
      <w:r w:rsidRPr="00746F54">
        <w:rPr>
          <w:rFonts w:ascii="Arial" w:eastAsia="Calibri" w:hAnsi="Arial" w:cs="Arial"/>
        </w:rPr>
        <w:t>apply</w:t>
      </w:r>
      <w:proofErr w:type="gramEnd"/>
      <w:r w:rsidRPr="00746F54">
        <w:rPr>
          <w:rFonts w:ascii="Arial" w:eastAsia="Calibri" w:hAnsi="Arial" w:cs="Arial"/>
        </w:rPr>
        <w:t xml:space="preserve"> to all non-GHG EDAM BAAs.</w:t>
      </w:r>
    </w:p>
    <w:p w14:paraId="4B449FE0" w14:textId="77777777" w:rsidR="00E4601F" w:rsidRPr="00746F54" w:rsidRDefault="00E4601F" w:rsidP="00E4601F">
      <w:pPr>
        <w:pStyle w:val="ParaText"/>
        <w:rPr>
          <w:rFonts w:ascii="Arial" w:hAnsi="Arial" w:cs="Arial"/>
        </w:rPr>
      </w:pPr>
      <w:bookmarkStart w:id="260" w:name="_Hlk200372405"/>
      <w:r w:rsidRPr="00746F54">
        <w:rPr>
          <w:rFonts w:ascii="Arial" w:eastAsia="Calibri" w:hAnsi="Arial" w:cs="Arial"/>
        </w:rPr>
        <w:t xml:space="preserve">This constraint will limit the total amount of resources from these areas so that it does not exceed their net exports. The constraint will also limit the total amount of resources from one </w:t>
      </w:r>
      <w:r w:rsidRPr="00746F54">
        <w:rPr>
          <w:rFonts w:ascii="Arial" w:eastAsia="Calibri" w:hAnsi="Arial" w:cs="Arial"/>
        </w:rPr>
        <w:lastRenderedPageBreak/>
        <w:t xml:space="preserve">GHG Regulation Area used to serve demand in another GHG regulation area, ensuring it does not exceed the net exports from their original areas. The constraint limits the aggregate GHG attribution to resources in a BAA in the non-GHG area to the higher of the optimal net transfer (positive for export and negative for import) or the aggregate available RA capacity in that BAA. </w:t>
      </w:r>
      <w:bookmarkEnd w:id="260"/>
      <w:r w:rsidRPr="00746F54">
        <w:rPr>
          <w:rFonts w:ascii="Arial" w:eastAsia="Calibri" w:hAnsi="Arial" w:cs="Arial"/>
        </w:rPr>
        <w:t xml:space="preserve">Furthermore, the constraint limit would be set relative to the net transfer of the BAA in the GHG reference pass; therefore, GHG attributions will be allowed to </w:t>
      </w:r>
      <w:proofErr w:type="gramStart"/>
      <w:r w:rsidRPr="00746F54">
        <w:rPr>
          <w:rFonts w:ascii="Arial" w:eastAsia="Calibri" w:hAnsi="Arial" w:cs="Arial"/>
        </w:rPr>
        <w:t>resources</w:t>
      </w:r>
      <w:proofErr w:type="gramEnd"/>
      <w:r w:rsidRPr="00746F54">
        <w:rPr>
          <w:rFonts w:ascii="Arial" w:eastAsia="Calibri" w:hAnsi="Arial" w:cs="Arial"/>
        </w:rPr>
        <w:t xml:space="preserve"> in a BAA with a reduced net import transfer in the IFM compared to the net transfer in the GHG reference pass. This measure will also apply to WEIM. However, this constraint will not stop the Integrated Forward Market from using resources outside a specific GHG regulation area to serve demand within that area if they are registered with the CAISO. If a BAA fails the RSE, the CAISO will turn off the Gross GHG Attribution Limit for the hours of that day that the BAA fails the RSE.</w:t>
      </w:r>
    </w:p>
    <w:p w14:paraId="22B63B07"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This GHG </w:t>
      </w:r>
      <w:r w:rsidRPr="00746F54">
        <w:rPr>
          <w:rFonts w:ascii="Arial" w:hAnsi="Arial" w:cs="Arial"/>
        </w:rPr>
        <w:t>Gross GHG Attribution Limit</w:t>
      </w:r>
      <w:r w:rsidRPr="00746F54">
        <w:rPr>
          <w:rFonts w:ascii="Arial" w:eastAsia="Calibri" w:hAnsi="Arial" w:cs="Arial"/>
        </w:rPr>
        <w:t xml:space="preserve"> is a market features that seeks to address concerns that the CAISO market may attribute GHG transfers resources in a balancing authority area outside of the applicable GHG regulation area in intervals when that balancing authority area is a net importer or </w:t>
      </w:r>
      <w:proofErr w:type="gramStart"/>
      <w:r w:rsidRPr="00746F54">
        <w:rPr>
          <w:rFonts w:ascii="Arial" w:eastAsia="Calibri" w:hAnsi="Arial" w:cs="Arial"/>
        </w:rPr>
        <w:t>in excess of</w:t>
      </w:r>
      <w:proofErr w:type="gramEnd"/>
      <w:r w:rsidRPr="00746F54">
        <w:rPr>
          <w:rFonts w:ascii="Arial" w:eastAsia="Calibri" w:hAnsi="Arial" w:cs="Arial"/>
        </w:rPr>
        <w:t xml:space="preserve"> the balancing authority area’s net optimal transfer schedule. </w:t>
      </w:r>
    </w:p>
    <w:p w14:paraId="44034F8A" w14:textId="012845FE"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In EDAM, the Gross GHG Attribution Limit is an hourly constraint that applies to every balancing authority area that does not overlap with a GHG regulation area. When a balancing authority area</w:t>
      </w:r>
      <w:r w:rsidRPr="00746F54" w:rsidDel="00CF472E">
        <w:rPr>
          <w:rFonts w:ascii="Arial" w:eastAsia="Calibri" w:hAnsi="Arial" w:cs="Arial"/>
        </w:rPr>
        <w:t xml:space="preserve"> </w:t>
      </w:r>
      <w:r w:rsidRPr="00746F54">
        <w:rPr>
          <w:rFonts w:ascii="Arial" w:eastAsia="Calibri" w:hAnsi="Arial" w:cs="Arial"/>
        </w:rPr>
        <w:t xml:space="preserve">that overlaps with a GHG regulation area fails the resource sufficiency evaluation, the market deactivates all Gross GHG Attribution Limits for that hour in order not to restrict transfers into that balancing authority area, which could exacerbate a reliability issue. The constraint functions the same in both EDAM and WEIM, except for the interval duration. In the WEIM, the market will deactivate the Gross GHG Attribution Limit for all balancing authority areas in any </w:t>
      </w:r>
      <w:r w:rsidR="003F76EC" w:rsidRPr="00746F54">
        <w:rPr>
          <w:rFonts w:ascii="Arial" w:eastAsia="Calibri" w:hAnsi="Arial" w:cs="Arial"/>
        </w:rPr>
        <w:t>15-minute</w:t>
      </w:r>
      <w:r w:rsidRPr="00746F54">
        <w:rPr>
          <w:rFonts w:ascii="Arial" w:eastAsia="Calibri" w:hAnsi="Arial" w:cs="Arial"/>
        </w:rPr>
        <w:t xml:space="preserve"> interval when a balancing authority area that overlaps with a GHG regulation area does not pass the RSE.</w:t>
      </w:r>
    </w:p>
    <w:p w14:paraId="4E0F2C5C"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The CAISO describes above how the market determines a resource’s eligible GHG capacity. However, this is an additional constraint that applies at a BAA-level as well. This constraint limits the sum of GHG awards of resources within a BAA to the market-optimized net export transfer from that BAA. The CAISO refers to this constraint as the Gross GHG Attribution Limit. The Gross GHG Attribution Limit</w:t>
      </w:r>
      <w:r w:rsidRPr="00746F54" w:rsidDel="00CF472E">
        <w:rPr>
          <w:rFonts w:ascii="Arial" w:eastAsia="Calibri" w:hAnsi="Arial" w:cs="Arial"/>
        </w:rPr>
        <w:t xml:space="preserve"> </w:t>
      </w:r>
      <w:r w:rsidRPr="00746F54">
        <w:rPr>
          <w:rFonts w:ascii="Arial" w:eastAsia="Calibri" w:hAnsi="Arial" w:cs="Arial"/>
        </w:rPr>
        <w:t>is also impacted by the results of the Resource Sufficiency Evaluation (RSE), RSE-eligible exports, and by committed capacity, as explained further below.</w:t>
      </w:r>
    </w:p>
    <w:p w14:paraId="3725AD59"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 xml:space="preserve">A primary purpose of both the EDAM and the WEIM is to optimize energy transfers between the BAAs that participate in those markets. Optimized energy transfers are explained elsewhere in the BPMs, but, for the purposes of understanding the Gross GHG Attribution Limit, the important concept to grasp is that for each market interval each BAA will either be a net energy importer or a net exporter. Note that a BAA may be a gross exporter in a particular market interval but, if </w:t>
      </w:r>
      <w:r w:rsidRPr="00746F54">
        <w:rPr>
          <w:rFonts w:ascii="Arial" w:eastAsia="Calibri" w:hAnsi="Arial" w:cs="Arial"/>
        </w:rPr>
        <w:lastRenderedPageBreak/>
        <w:t>its gross imports exceed the gross exports, it is considered a net importer for that market interval.</w:t>
      </w:r>
    </w:p>
    <w:p w14:paraId="3B7806B3"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As the GHG attribution process intends to allocate imports into GHG areas to specific resources, the Gross GHG Attribution Limit naturally applies to supply resources outside of a GHG area that contribute to their BAA’s net exports. For example, if a BAA is a net exporter of 100MW in a particular market interval, the sum of the GHG award MW of the resources located in that BAA cannot exceed 100MW. A different example is the case where a BAA is a net importer for a particular market interval. In that case, no resources located in that BAA may receive a GHG award</w:t>
      </w:r>
      <w:r w:rsidRPr="00746F54">
        <w:rPr>
          <w:rStyle w:val="FootnoteReference"/>
          <w:rFonts w:ascii="Arial" w:eastAsia="Calibri" w:hAnsi="Arial" w:cs="Arial"/>
        </w:rPr>
        <w:footnoteReference w:id="14"/>
      </w:r>
      <w:r w:rsidRPr="00746F54">
        <w:rPr>
          <w:rFonts w:ascii="Arial" w:eastAsia="Calibri" w:hAnsi="Arial" w:cs="Arial"/>
        </w:rPr>
        <w:t>.</w:t>
      </w:r>
    </w:p>
    <w:p w14:paraId="06A5D2EE" w14:textId="25748BE8" w:rsidR="00E4601F" w:rsidRPr="00746F54" w:rsidRDefault="00E4601F" w:rsidP="00E4601F">
      <w:pPr>
        <w:spacing w:after="240" w:line="300" w:lineRule="auto"/>
        <w:rPr>
          <w:rFonts w:ascii="Arial" w:eastAsia="Calibri" w:hAnsi="Arial" w:cs="Arial"/>
        </w:rPr>
      </w:pPr>
      <w:bookmarkStart w:id="261" w:name="_Hlk210295426"/>
      <w:r w:rsidRPr="00746F54">
        <w:rPr>
          <w:rFonts w:ascii="Arial" w:eastAsia="Calibri" w:hAnsi="Arial" w:cs="Arial"/>
        </w:rPr>
        <w:t xml:space="preserve">It is also important to note that whether a BAA is a net exporter or importer (i.e. the BAA’s net exporter status) is determined based on the BAA’s net exporter status in the previous market optimization iteration. When determining optimal schedules for each market interval, the market software performs multiple iterations, i.e. it finds the optimal solution to the objective function multiple times. </w:t>
      </w:r>
      <w:proofErr w:type="gramStart"/>
      <w:r w:rsidRPr="00746F54">
        <w:rPr>
          <w:rFonts w:ascii="Arial" w:eastAsia="Calibri" w:hAnsi="Arial" w:cs="Arial"/>
        </w:rPr>
        <w:t xml:space="preserve">For the </w:t>
      </w:r>
      <w:r w:rsidR="003F76EC" w:rsidRPr="00746F54">
        <w:rPr>
          <w:rFonts w:ascii="Arial" w:eastAsia="Calibri" w:hAnsi="Arial" w:cs="Arial"/>
        </w:rPr>
        <w:t>purpose</w:t>
      </w:r>
      <w:r w:rsidRPr="00746F54">
        <w:rPr>
          <w:rFonts w:ascii="Arial" w:eastAsia="Calibri" w:hAnsi="Arial" w:cs="Arial"/>
        </w:rPr>
        <w:t xml:space="preserve"> of</w:t>
      </w:r>
      <w:proofErr w:type="gramEnd"/>
      <w:r w:rsidRPr="00746F54">
        <w:rPr>
          <w:rFonts w:ascii="Arial" w:eastAsia="Calibri" w:hAnsi="Arial" w:cs="Arial"/>
        </w:rPr>
        <w:t xml:space="preserve"> determining net exporter status for the enforcement of the Gross GHG Attribution Limit, the market optimization </w:t>
      </w:r>
      <w:proofErr w:type="gramStart"/>
      <w:r w:rsidRPr="00746F54">
        <w:rPr>
          <w:rFonts w:ascii="Arial" w:eastAsia="Calibri" w:hAnsi="Arial" w:cs="Arial"/>
        </w:rPr>
        <w:t>refers back</w:t>
      </w:r>
      <w:proofErr w:type="gramEnd"/>
      <w:r w:rsidRPr="00746F54">
        <w:rPr>
          <w:rFonts w:ascii="Arial" w:eastAsia="Calibri" w:hAnsi="Arial" w:cs="Arial"/>
        </w:rPr>
        <w:t xml:space="preserve"> to the previous market iteration. For the first iteration of the market interval, the market optimization won’t have a previous iteration to </w:t>
      </w:r>
      <w:proofErr w:type="gramStart"/>
      <w:r w:rsidRPr="00746F54">
        <w:rPr>
          <w:rFonts w:ascii="Arial" w:eastAsia="Calibri" w:hAnsi="Arial" w:cs="Arial"/>
        </w:rPr>
        <w:t>refer back</w:t>
      </w:r>
      <w:proofErr w:type="gramEnd"/>
      <w:r w:rsidRPr="00746F54">
        <w:rPr>
          <w:rFonts w:ascii="Arial" w:eastAsia="Calibri" w:hAnsi="Arial" w:cs="Arial"/>
        </w:rPr>
        <w:t xml:space="preserve"> to and thus the Gross GHG Attribution Limit won’t apply. However, it will be enforced in subsequent iterations that ultimately result in the binding market results. </w:t>
      </w:r>
      <w:bookmarkEnd w:id="261"/>
      <w:r w:rsidRPr="00746F54">
        <w:rPr>
          <w:rFonts w:ascii="Arial" w:eastAsia="Calibri" w:hAnsi="Arial" w:cs="Arial"/>
        </w:rPr>
        <w:t>In this BPM section, when the CAISO refers to a BAA’s net exporter status meaning the BAA’s net exporter status in the previous iteration for ease of understanding.</w:t>
      </w:r>
    </w:p>
    <w:p w14:paraId="22999608" w14:textId="77777777" w:rsidR="00E4601F" w:rsidRPr="00746F54" w:rsidRDefault="00E4601F" w:rsidP="00E4601F">
      <w:pPr>
        <w:spacing w:after="240" w:line="300" w:lineRule="auto"/>
        <w:rPr>
          <w:rFonts w:ascii="Arial" w:eastAsia="Calibri" w:hAnsi="Arial" w:cs="Arial"/>
        </w:rPr>
      </w:pPr>
      <w:r w:rsidRPr="00746F54">
        <w:rPr>
          <w:rFonts w:ascii="Arial" w:eastAsia="Calibri" w:hAnsi="Arial" w:cs="Arial"/>
        </w:rPr>
        <w:t>The Gross GHG Attribution Limit is impacted by several other factors, including:</w:t>
      </w:r>
    </w:p>
    <w:p w14:paraId="791D72C4" w14:textId="77777777" w:rsidR="00E4601F" w:rsidRPr="003F76EC" w:rsidRDefault="00E4601F" w:rsidP="00E4601F">
      <w:pPr>
        <w:pStyle w:val="ListParagraph"/>
        <w:numPr>
          <w:ilvl w:val="0"/>
          <w:numId w:val="48"/>
        </w:numPr>
        <w:spacing w:after="240" w:line="300" w:lineRule="auto"/>
        <w:rPr>
          <w:rFonts w:ascii="Arial" w:eastAsia="Calibri" w:hAnsi="Arial" w:cs="Arial"/>
        </w:rPr>
      </w:pPr>
      <w:r w:rsidRPr="00746F54">
        <w:rPr>
          <w:rFonts w:ascii="Arial" w:eastAsia="Calibri" w:hAnsi="Arial" w:cs="Arial"/>
          <w:u w:val="single"/>
        </w:rPr>
        <w:t>RSE results</w:t>
      </w:r>
      <w:r w:rsidRPr="00746F54">
        <w:rPr>
          <w:rFonts w:ascii="Arial" w:eastAsia="Calibri" w:hAnsi="Arial" w:cs="Arial"/>
        </w:rPr>
        <w:t xml:space="preserve">: the RSE is intended to ensure that each BAA </w:t>
      </w:r>
      <w:proofErr w:type="gramStart"/>
      <w:r w:rsidRPr="00746F54">
        <w:rPr>
          <w:rFonts w:ascii="Arial" w:eastAsia="Calibri" w:hAnsi="Arial" w:cs="Arial"/>
        </w:rPr>
        <w:t>is able to</w:t>
      </w:r>
      <w:proofErr w:type="gramEnd"/>
      <w:r w:rsidRPr="00746F54">
        <w:rPr>
          <w:rFonts w:ascii="Arial" w:eastAsia="Calibri" w:hAnsi="Arial" w:cs="Arial"/>
        </w:rPr>
        <w:t xml:space="preserve"> meet its BAA obligations (forecasted demand, uncertainty, ancillary service requirements) prior to engaging in transfers with other participating BAAs through the CAISO markets. While the RSE functions differ between the day-ahead and real-time markets, both</w:t>
      </w:r>
      <w:r w:rsidRPr="00746F54" w:rsidDel="00F35311">
        <w:rPr>
          <w:rFonts w:ascii="Arial" w:eastAsia="Calibri" w:hAnsi="Arial" w:cs="Arial"/>
        </w:rPr>
        <w:t xml:space="preserve"> </w:t>
      </w:r>
      <w:r w:rsidRPr="00746F54">
        <w:rPr>
          <w:rFonts w:ascii="Arial" w:eastAsia="Calibri" w:hAnsi="Arial" w:cs="Arial"/>
        </w:rPr>
        <w:t xml:space="preserve">test whether a BAA is sufficient in the upwards direction, meaning they check whether the BAA has sufficient ability (e.g. ramping capacity, bid range capacity) to meet increases in its BAA obligations. If any BAA that overlaps with a GHG area fails the RSE in the upwards direction for a particular market interval, the Gross GHG Attribution Limit will not apply for that interval. An upwards failure of the RTM RSE means if a BAA has failed any of the RSE tests in the upwards direction (e.g. flexible ramping capacity test, bid range capacity test); an upwards failure of the DAM </w:t>
      </w:r>
      <w:r w:rsidRPr="003F76EC">
        <w:rPr>
          <w:rFonts w:ascii="Arial" w:eastAsia="Calibri" w:hAnsi="Arial" w:cs="Arial"/>
        </w:rPr>
        <w:t>RSE is self-explanatory.</w:t>
      </w:r>
    </w:p>
    <w:p w14:paraId="79C8BC71" w14:textId="305C379B" w:rsidR="00E4601F" w:rsidRPr="00746F54" w:rsidRDefault="00E4601F" w:rsidP="00E4601F">
      <w:pPr>
        <w:pStyle w:val="ListParagraph"/>
        <w:numPr>
          <w:ilvl w:val="0"/>
          <w:numId w:val="48"/>
        </w:numPr>
        <w:spacing w:after="240" w:line="300" w:lineRule="auto"/>
        <w:rPr>
          <w:rFonts w:ascii="Arial" w:eastAsia="Calibri" w:hAnsi="Arial" w:cs="Arial"/>
        </w:rPr>
      </w:pPr>
      <w:r w:rsidRPr="003F76EC">
        <w:rPr>
          <w:rFonts w:ascii="Arial" w:eastAsia="Calibri" w:hAnsi="Arial" w:cs="Arial"/>
          <w:u w:val="single"/>
        </w:rPr>
        <w:lastRenderedPageBreak/>
        <w:t>RSE-eligible transfers</w:t>
      </w:r>
      <w:r w:rsidRPr="003F76EC">
        <w:rPr>
          <w:rFonts w:ascii="Arial" w:eastAsia="Calibri" w:hAnsi="Arial" w:cs="Arial"/>
        </w:rPr>
        <w:t xml:space="preserve">: </w:t>
      </w:r>
      <w:bookmarkStart w:id="262" w:name="_Hlk210295535"/>
      <w:r w:rsidRPr="003F76EC">
        <w:rPr>
          <w:rFonts w:ascii="Arial" w:eastAsia="Calibri" w:hAnsi="Arial" w:cs="Arial"/>
        </w:rPr>
        <w:t xml:space="preserve">RSE-eligible exports are transfers of energy that are arranged between BAAs prior to the running of the CAISO </w:t>
      </w:r>
      <w:r w:rsidR="003F76EC" w:rsidRPr="003F76EC">
        <w:rPr>
          <w:rFonts w:ascii="Arial" w:eastAsia="Calibri" w:hAnsi="Arial" w:cs="Arial"/>
        </w:rPr>
        <w:t>market,</w:t>
      </w:r>
      <w:r w:rsidRPr="003F76EC">
        <w:rPr>
          <w:rFonts w:ascii="Arial" w:eastAsia="Calibri" w:hAnsi="Arial" w:cs="Arial"/>
        </w:rPr>
        <w:t xml:space="preserve"> which also meet certain criteria that indicate they can be counted on by the sink BAA for the RSE. There are two kinds of RSE-eligible transfers 1.) Self-scheduled transfers (by a transmission customer SC) associated with CRNs (transmission contracts).2.) Transfers not associated with CRNs but released as bucket-1 by the EDAM entity SC. RSE-eligible transfers are optimized in both the GHG Reference pass and the IFM; however, in the GHG Reference pass, there are constraints that limit the net GHG transfer import into GHG Regulation Areas. All resources registered in the Master File will have an RSE-eligible attribute; if it is set, that resource will be optimized in the RSE, otherwise, it is not applicable. BAA to BAA transfers differ from GHG transfers. This RSE-eligible attribute has no relevance for the GHG Reference pass. </w:t>
      </w:r>
      <w:bookmarkStart w:id="263" w:name="_Hlk210296577"/>
      <w:bookmarkEnd w:id="262"/>
      <w:r w:rsidRPr="003F76EC">
        <w:rPr>
          <w:rFonts w:ascii="Arial" w:eastAsia="Calibri" w:hAnsi="Arial" w:cs="Arial"/>
        </w:rPr>
        <w:t>For the purposes of the Gross GHG Attribution Limit, RSE-eligible export to BAAs that overlap with a GHG area are excluded. For example, if a</w:t>
      </w:r>
      <w:r w:rsidRPr="00746F54">
        <w:rPr>
          <w:rFonts w:ascii="Arial" w:eastAsia="Calibri" w:hAnsi="Arial" w:cs="Arial"/>
        </w:rPr>
        <w:t xml:space="preserve"> non GHG-area BAA is a net importer in a market interval but has pre-arranged for 150MW of net exports to a BAA that overlaps with a GHG area, the resources located in that non GHG-area BAA can still receive up to a collective total of 150MW of GHG awards. </w:t>
      </w:r>
      <w:bookmarkEnd w:id="263"/>
    </w:p>
    <w:p w14:paraId="24F222FA" w14:textId="77777777" w:rsidR="00E4601F" w:rsidRPr="00746F54" w:rsidRDefault="00E4601F" w:rsidP="00E4601F">
      <w:pPr>
        <w:pStyle w:val="ListParagraph"/>
        <w:numPr>
          <w:ilvl w:val="0"/>
          <w:numId w:val="48"/>
        </w:numPr>
        <w:spacing w:after="240" w:line="300" w:lineRule="auto"/>
        <w:rPr>
          <w:rFonts w:ascii="Arial" w:eastAsia="Calibri" w:hAnsi="Arial" w:cs="Arial"/>
        </w:rPr>
      </w:pPr>
      <w:r w:rsidRPr="00746F54">
        <w:rPr>
          <w:rFonts w:ascii="Arial" w:eastAsia="Calibri" w:hAnsi="Arial" w:cs="Arial"/>
          <w:u w:val="single"/>
        </w:rPr>
        <w:t>Committed capacity</w:t>
      </w:r>
      <w:r w:rsidRPr="00746F54">
        <w:rPr>
          <w:rFonts w:ascii="Arial" w:eastAsia="Calibri" w:hAnsi="Arial" w:cs="Arial"/>
        </w:rPr>
        <w:t xml:space="preserve">: </w:t>
      </w:r>
      <w:r w:rsidRPr="00746F54">
        <w:rPr>
          <w:rFonts w:ascii="Arial" w:hAnsi="Arial" w:cs="Arial"/>
        </w:rPr>
        <w:t xml:space="preserve">As mentioned above, a resource may be contractually committed to </w:t>
      </w:r>
      <w:proofErr w:type="gramStart"/>
      <w:r w:rsidRPr="00746F54">
        <w:rPr>
          <w:rFonts w:ascii="Arial" w:hAnsi="Arial" w:cs="Arial"/>
        </w:rPr>
        <w:t>serve</w:t>
      </w:r>
      <w:proofErr w:type="gramEnd"/>
      <w:r w:rsidRPr="00746F54">
        <w:rPr>
          <w:rFonts w:ascii="Arial" w:hAnsi="Arial" w:cs="Arial"/>
        </w:rPr>
        <w:t xml:space="preserve"> load in a GHG area (</w:t>
      </w:r>
      <w:r w:rsidRPr="00746F54" w:rsidDel="00F35311">
        <w:rPr>
          <w:rFonts w:ascii="Arial" w:hAnsi="Arial" w:cs="Arial"/>
        </w:rPr>
        <w:t>e.g</w:t>
      </w:r>
      <w:r w:rsidRPr="00746F54">
        <w:rPr>
          <w:rFonts w:ascii="Arial" w:hAnsi="Arial" w:cs="Arial"/>
        </w:rPr>
        <w:t xml:space="preserve">., a resource outside of California could have a Resource Adequacy contract to serve California load). In such cases, this committed capacity is not impacted by the </w:t>
      </w:r>
      <w:r w:rsidRPr="00746F54">
        <w:rPr>
          <w:rFonts w:ascii="Arial" w:eastAsia="Calibri" w:hAnsi="Arial" w:cs="Arial"/>
        </w:rPr>
        <w:t>Gross GHG Attribution Limit</w:t>
      </w:r>
      <w:r w:rsidRPr="00746F54">
        <w:rPr>
          <w:rFonts w:ascii="Arial" w:hAnsi="Arial" w:cs="Arial"/>
        </w:rPr>
        <w:t xml:space="preserve">. </w:t>
      </w:r>
      <w:r w:rsidRPr="00746F54">
        <w:rPr>
          <w:rFonts w:ascii="Arial" w:eastAsia="Calibri" w:hAnsi="Arial" w:cs="Arial"/>
        </w:rPr>
        <w:t>For example, if a non GHG-area BAA is a net importer in a market interval but has 200MW of capacity committed to serve load in a GHG area, the resources located in that non GHG-area BAA can still receive up to a collective total of 200MW of GHG awards.</w:t>
      </w:r>
    </w:p>
    <w:p w14:paraId="7834A842" w14:textId="77777777" w:rsidR="00E4601F" w:rsidRPr="00746F54" w:rsidRDefault="00E4601F" w:rsidP="00E4601F">
      <w:pPr>
        <w:spacing w:after="240" w:line="300" w:lineRule="auto"/>
        <w:rPr>
          <w:rFonts w:ascii="Arial" w:hAnsi="Arial" w:cs="Arial"/>
        </w:rPr>
      </w:pPr>
      <w:r w:rsidRPr="00746F54">
        <w:rPr>
          <w:rFonts w:ascii="Arial" w:hAnsi="Arial" w:cs="Arial"/>
        </w:rPr>
        <w:t xml:space="preserve">When determining the impact on the </w:t>
      </w:r>
      <w:r w:rsidRPr="00746F54">
        <w:rPr>
          <w:rFonts w:ascii="Arial" w:eastAsia="Calibri" w:hAnsi="Arial" w:cs="Arial"/>
        </w:rPr>
        <w:t>Gross GHG Attribution Limit</w:t>
      </w:r>
      <w:r w:rsidRPr="00746F54">
        <w:rPr>
          <w:rFonts w:ascii="Arial" w:hAnsi="Arial" w:cs="Arial"/>
        </w:rPr>
        <w:t>, the latter two factors mentioned above aren’t additive, rather the most impactful measure is what matters. For example, assume that a non-GHG area BAA is a net importer for a market interval but has 200MW of capacity committed to a GHG area and RSE-eligible exports to a GHG area of 300MW. In that case, resources in the non-GHG area BAA can receive up to 300MW of GHG awards, rather than 500MW.</w:t>
      </w:r>
    </w:p>
    <w:p w14:paraId="1727EB35" w14:textId="77777777" w:rsidR="00E4601F" w:rsidRPr="00746F54" w:rsidRDefault="00E4601F" w:rsidP="00E4601F">
      <w:pPr>
        <w:spacing w:after="240" w:line="300" w:lineRule="auto"/>
        <w:rPr>
          <w:rFonts w:ascii="Arial" w:hAnsi="Arial" w:cs="Arial"/>
          <w:b/>
        </w:rPr>
      </w:pPr>
      <w:bookmarkStart w:id="264" w:name="_Hlk200372301"/>
      <w:r w:rsidRPr="00746F54">
        <w:rPr>
          <w:rFonts w:ascii="Arial" w:hAnsi="Arial" w:cs="Arial"/>
          <w:b/>
        </w:rPr>
        <w:t xml:space="preserve">Examples for Net Transfer Impact under Various Scenarios  </w:t>
      </w:r>
    </w:p>
    <w:p w14:paraId="71771436" w14:textId="77777777" w:rsidR="00E4601F" w:rsidRPr="00746F54" w:rsidRDefault="00E4601F" w:rsidP="00E4601F">
      <w:pPr>
        <w:spacing w:after="240" w:line="300" w:lineRule="auto"/>
        <w:rPr>
          <w:rFonts w:ascii="Arial" w:hAnsi="Arial" w:cs="Arial"/>
          <w:i/>
        </w:rPr>
      </w:pPr>
      <w:r w:rsidRPr="00746F54">
        <w:rPr>
          <w:rFonts w:ascii="Arial" w:hAnsi="Arial" w:cs="Arial"/>
          <w:i/>
        </w:rPr>
        <w:t xml:space="preserve">All scenarios assume BAA 1 is outside of the GHG Regulation Area and BAA 2 is inside the GHG Regulation Area (fully or partially). </w:t>
      </w:r>
    </w:p>
    <w:tbl>
      <w:tblPr>
        <w:tblStyle w:val="TableGrid"/>
        <w:tblW w:w="10283" w:type="dxa"/>
        <w:tblLook w:val="04A0" w:firstRow="1" w:lastRow="0" w:firstColumn="1" w:lastColumn="0" w:noHBand="0" w:noVBand="1"/>
      </w:tblPr>
      <w:tblGrid>
        <w:gridCol w:w="2335"/>
        <w:gridCol w:w="4320"/>
        <w:gridCol w:w="3628"/>
      </w:tblGrid>
      <w:tr w:rsidR="00E4601F" w:rsidRPr="00746F54" w14:paraId="10A48EB7" w14:textId="77777777" w:rsidTr="00D62922">
        <w:trPr>
          <w:trHeight w:val="278"/>
        </w:trPr>
        <w:tc>
          <w:tcPr>
            <w:tcW w:w="2335" w:type="dxa"/>
            <w:shd w:val="clear" w:color="auto" w:fill="44546A" w:themeFill="text2"/>
          </w:tcPr>
          <w:p w14:paraId="004F5228"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Scenario</w:t>
            </w:r>
          </w:p>
        </w:tc>
        <w:tc>
          <w:tcPr>
            <w:tcW w:w="4320" w:type="dxa"/>
            <w:shd w:val="clear" w:color="auto" w:fill="44546A" w:themeFill="text2"/>
          </w:tcPr>
          <w:p w14:paraId="7E0F89CA"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Description and Assumptions</w:t>
            </w:r>
          </w:p>
        </w:tc>
        <w:tc>
          <w:tcPr>
            <w:tcW w:w="3628" w:type="dxa"/>
            <w:shd w:val="clear" w:color="auto" w:fill="44546A" w:themeFill="text2"/>
          </w:tcPr>
          <w:p w14:paraId="3526129B"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Total Attributions to BAA 1</w:t>
            </w:r>
          </w:p>
        </w:tc>
      </w:tr>
      <w:tr w:rsidR="00E4601F" w:rsidRPr="00746F54" w14:paraId="04AD67DD" w14:textId="77777777" w:rsidTr="00D62922">
        <w:trPr>
          <w:trHeight w:val="638"/>
        </w:trPr>
        <w:tc>
          <w:tcPr>
            <w:tcW w:w="2335" w:type="dxa"/>
          </w:tcPr>
          <w:p w14:paraId="1403C41F"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lastRenderedPageBreak/>
              <w:t>A.) Net importer</w:t>
            </w:r>
          </w:p>
        </w:tc>
        <w:tc>
          <w:tcPr>
            <w:tcW w:w="4320" w:type="dxa"/>
          </w:tcPr>
          <w:p w14:paraId="6F87913B"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BAA 1 is a net importer for the hour</w:t>
            </w:r>
          </w:p>
        </w:tc>
        <w:tc>
          <w:tcPr>
            <w:tcW w:w="3628" w:type="dxa"/>
          </w:tcPr>
          <w:p w14:paraId="3EDB7893"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None</w:t>
            </w:r>
          </w:p>
        </w:tc>
      </w:tr>
      <w:tr w:rsidR="00E4601F" w:rsidRPr="00746F54" w14:paraId="52B90EB5" w14:textId="77777777" w:rsidTr="00D62922">
        <w:trPr>
          <w:trHeight w:val="755"/>
        </w:trPr>
        <w:tc>
          <w:tcPr>
            <w:tcW w:w="2335" w:type="dxa"/>
          </w:tcPr>
          <w:p w14:paraId="0B762F34"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B.) Net exporter</w:t>
            </w:r>
          </w:p>
        </w:tc>
        <w:tc>
          <w:tcPr>
            <w:tcW w:w="4320" w:type="dxa"/>
          </w:tcPr>
          <w:p w14:paraId="4FFD8DEB"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BAA 1’s optimal net transfer is 100 MW; therefore, their transfer limit is 100 MW</w:t>
            </w:r>
          </w:p>
        </w:tc>
        <w:tc>
          <w:tcPr>
            <w:tcW w:w="3628" w:type="dxa"/>
          </w:tcPr>
          <w:p w14:paraId="4D3A5AC5"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Up to 100 MW</w:t>
            </w:r>
          </w:p>
        </w:tc>
      </w:tr>
      <w:tr w:rsidR="00E4601F" w:rsidRPr="00746F54" w14:paraId="69C809A7" w14:textId="77777777" w:rsidTr="00D62922">
        <w:trPr>
          <w:trHeight w:val="1970"/>
        </w:trPr>
        <w:tc>
          <w:tcPr>
            <w:tcW w:w="2335" w:type="dxa"/>
          </w:tcPr>
          <w:p w14:paraId="2076191C"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C.) Accounted-for committed capacity</w:t>
            </w:r>
          </w:p>
        </w:tc>
        <w:tc>
          <w:tcPr>
            <w:tcW w:w="4320" w:type="dxa"/>
          </w:tcPr>
          <w:p w14:paraId="6DAE1B7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BAA 1 has a 100 MW resource, of which 20 MW is committed capacity to BAA 2</w:t>
            </w:r>
          </w:p>
        </w:tc>
        <w:tc>
          <w:tcPr>
            <w:tcW w:w="3628" w:type="dxa"/>
          </w:tcPr>
          <w:p w14:paraId="4B608B55"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Up to 20 MW of committed capacity</w:t>
            </w:r>
          </w:p>
          <w:p w14:paraId="51CE135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The resource in BAA 1 may receive an additional attribution to serve demand in BAA 2 at a value above the resource’s GHG reference schedule but not to exceed BAA 1’s net exports for that hour.</w:t>
            </w:r>
          </w:p>
        </w:tc>
      </w:tr>
      <w:tr w:rsidR="00E4601F" w:rsidRPr="00746F54" w14:paraId="1A961FF6" w14:textId="77777777" w:rsidTr="00D62922">
        <w:trPr>
          <w:trHeight w:val="1700"/>
        </w:trPr>
        <w:tc>
          <w:tcPr>
            <w:tcW w:w="2335" w:type="dxa"/>
          </w:tcPr>
          <w:p w14:paraId="3A2735D8"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D.) Accounting for EDAM RSE failure in the upward direction</w:t>
            </w:r>
          </w:p>
        </w:tc>
        <w:tc>
          <w:tcPr>
            <w:tcW w:w="4320" w:type="dxa"/>
          </w:tcPr>
          <w:p w14:paraId="0D4961B5"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 xml:space="preserve">BAA 1 has a 500 MW resource that has bid in to serve BAA 2 in a GHG region. </w:t>
            </w:r>
          </w:p>
          <w:p w14:paraId="5336261C"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The optimal net transfer is 400 MW for BAA 1.</w:t>
            </w:r>
          </w:p>
          <w:p w14:paraId="5F60D35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Balancing Area 2 fails the EDAM RSE.</w:t>
            </w:r>
          </w:p>
        </w:tc>
        <w:tc>
          <w:tcPr>
            <w:tcW w:w="3628" w:type="dxa"/>
          </w:tcPr>
          <w:p w14:paraId="2098A246"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 xml:space="preserve">The gross GHG attribution limit is turned off for all relevant hourly or </w:t>
            </w:r>
            <w:proofErr w:type="gramStart"/>
            <w:r w:rsidRPr="00746F54">
              <w:rPr>
                <w:rFonts w:ascii="Arial" w:hAnsi="Arial" w:cs="Arial"/>
                <w:sz w:val="22"/>
                <w:szCs w:val="22"/>
              </w:rPr>
              <w:t>fifteen minute</w:t>
            </w:r>
            <w:proofErr w:type="gramEnd"/>
            <w:r w:rsidRPr="00746F54">
              <w:rPr>
                <w:rFonts w:ascii="Arial" w:hAnsi="Arial" w:cs="Arial"/>
                <w:sz w:val="22"/>
                <w:szCs w:val="22"/>
              </w:rPr>
              <w:t xml:space="preserve"> market intervals, and BAA can receive up to 500MW of GHG attribution. </w:t>
            </w:r>
          </w:p>
        </w:tc>
      </w:tr>
    </w:tbl>
    <w:p w14:paraId="0C54F39E" w14:textId="77777777" w:rsidR="00E4601F" w:rsidRPr="00746F54" w:rsidRDefault="00E4601F" w:rsidP="00E4601F">
      <w:pPr>
        <w:spacing w:after="240" w:line="300" w:lineRule="auto"/>
        <w:rPr>
          <w:rFonts w:ascii="Arial" w:hAnsi="Arial" w:cs="Arial"/>
        </w:rPr>
      </w:pPr>
    </w:p>
    <w:bookmarkEnd w:id="264"/>
    <w:p w14:paraId="3212A04F" w14:textId="77777777" w:rsidR="00E4601F" w:rsidRPr="00746F54" w:rsidRDefault="00E4601F" w:rsidP="00E4601F">
      <w:pPr>
        <w:spacing w:after="240" w:line="300" w:lineRule="auto"/>
        <w:rPr>
          <w:rFonts w:ascii="Arial" w:hAnsi="Arial" w:cs="Arial"/>
          <w:b/>
        </w:rPr>
      </w:pPr>
      <w:r w:rsidRPr="00746F54">
        <w:rPr>
          <w:rFonts w:ascii="Arial" w:hAnsi="Arial" w:cs="Arial"/>
          <w:b/>
        </w:rPr>
        <w:t xml:space="preserve">Temporal examples of the gross GHG attribution limit when a GHG regulation area does and does not fail the EDAM RSE in the upward direction </w:t>
      </w:r>
    </w:p>
    <w:tbl>
      <w:tblPr>
        <w:tblStyle w:val="TableGrid"/>
        <w:tblW w:w="0" w:type="auto"/>
        <w:tblLook w:val="04A0" w:firstRow="1" w:lastRow="0" w:firstColumn="1" w:lastColumn="0" w:noHBand="0" w:noVBand="1"/>
      </w:tblPr>
      <w:tblGrid>
        <w:gridCol w:w="2340"/>
        <w:gridCol w:w="1513"/>
        <w:gridCol w:w="1468"/>
        <w:gridCol w:w="899"/>
        <w:gridCol w:w="1026"/>
        <w:gridCol w:w="2104"/>
      </w:tblGrid>
      <w:tr w:rsidR="00E4601F" w:rsidRPr="00746F54" w14:paraId="46A3AD54" w14:textId="77777777" w:rsidTr="00D62922">
        <w:trPr>
          <w:trHeight w:val="1403"/>
        </w:trPr>
        <w:tc>
          <w:tcPr>
            <w:tcW w:w="4132"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0F9CBB1D"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 xml:space="preserve">Scenario </w:t>
            </w:r>
          </w:p>
        </w:tc>
        <w:tc>
          <w:tcPr>
            <w:tcW w:w="2160"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0AC2F4CC"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Gross GHG attribution limit: Optimal Net Transfer from BAA 1</w:t>
            </w:r>
          </w:p>
        </w:tc>
        <w:tc>
          <w:tcPr>
            <w:tcW w:w="1980"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7435DE7E"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Available economic MW for Attribution from BAA 1</w:t>
            </w:r>
          </w:p>
        </w:tc>
        <w:tc>
          <w:tcPr>
            <w:tcW w:w="990"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51A5844E"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EDAM</w:t>
            </w:r>
          </w:p>
        </w:tc>
        <w:tc>
          <w:tcPr>
            <w:tcW w:w="1440"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55D179FA"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WEIM</w:t>
            </w:r>
          </w:p>
        </w:tc>
        <w:tc>
          <w:tcPr>
            <w:tcW w:w="3600" w:type="dxa"/>
            <w:tcBorders>
              <w:top w:val="single" w:sz="4" w:space="0" w:color="auto"/>
              <w:left w:val="single" w:sz="4" w:space="0" w:color="auto"/>
              <w:bottom w:val="single" w:sz="4" w:space="0" w:color="auto"/>
              <w:right w:val="single" w:sz="4" w:space="0" w:color="auto"/>
            </w:tcBorders>
            <w:shd w:val="clear" w:color="auto" w:fill="44546A" w:themeFill="text2"/>
            <w:hideMark/>
          </w:tcPr>
          <w:p w14:paraId="60415D43" w14:textId="77777777" w:rsidR="00E4601F" w:rsidRPr="00746F54" w:rsidRDefault="00E4601F" w:rsidP="00D62922">
            <w:pPr>
              <w:spacing w:after="240" w:line="300" w:lineRule="auto"/>
              <w:jc w:val="left"/>
              <w:rPr>
                <w:rFonts w:ascii="Arial" w:hAnsi="Arial" w:cs="Arial"/>
                <w:color w:val="FFFFFF" w:themeColor="background1"/>
                <w:sz w:val="22"/>
                <w:szCs w:val="22"/>
              </w:rPr>
            </w:pPr>
            <w:r w:rsidRPr="00746F54">
              <w:rPr>
                <w:rFonts w:ascii="Arial" w:hAnsi="Arial" w:cs="Arial"/>
                <w:color w:val="FFFFFF" w:themeColor="background1"/>
                <w:sz w:val="22"/>
                <w:szCs w:val="22"/>
              </w:rPr>
              <w:t>Total Attribution</w:t>
            </w:r>
          </w:p>
        </w:tc>
      </w:tr>
      <w:tr w:rsidR="00E4601F" w:rsidRPr="00746F54" w14:paraId="36606653" w14:textId="77777777" w:rsidTr="00D62922">
        <w:trPr>
          <w:trHeight w:val="872"/>
        </w:trPr>
        <w:tc>
          <w:tcPr>
            <w:tcW w:w="4132" w:type="dxa"/>
            <w:vMerge w:val="restart"/>
            <w:tcBorders>
              <w:top w:val="single" w:sz="4" w:space="0" w:color="auto"/>
              <w:left w:val="single" w:sz="4" w:space="0" w:color="auto"/>
              <w:bottom w:val="single" w:sz="4" w:space="0" w:color="auto"/>
              <w:right w:val="single" w:sz="4" w:space="0" w:color="auto"/>
            </w:tcBorders>
            <w:hideMark/>
          </w:tcPr>
          <w:p w14:paraId="103D4F21"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EDAM BAA located fully/partially in GHG regulation area fails EDAM RSE for HE 1</w:t>
            </w:r>
          </w:p>
        </w:tc>
        <w:tc>
          <w:tcPr>
            <w:tcW w:w="2160" w:type="dxa"/>
            <w:tcBorders>
              <w:top w:val="single" w:sz="4" w:space="0" w:color="auto"/>
              <w:left w:val="single" w:sz="4" w:space="0" w:color="auto"/>
              <w:bottom w:val="single" w:sz="4" w:space="0" w:color="auto"/>
              <w:right w:val="single" w:sz="4" w:space="0" w:color="auto"/>
            </w:tcBorders>
            <w:hideMark/>
          </w:tcPr>
          <w:p w14:paraId="1B114FC6"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022E2DE9"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990" w:type="dxa"/>
            <w:vMerge w:val="restart"/>
            <w:tcBorders>
              <w:top w:val="single" w:sz="4" w:space="0" w:color="auto"/>
              <w:left w:val="single" w:sz="4" w:space="0" w:color="auto"/>
              <w:bottom w:val="single" w:sz="4" w:space="0" w:color="auto"/>
              <w:right w:val="single" w:sz="4" w:space="0" w:color="auto"/>
            </w:tcBorders>
            <w:hideMark/>
          </w:tcPr>
          <w:p w14:paraId="40A3E1FE"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HE 1</w:t>
            </w:r>
          </w:p>
        </w:tc>
        <w:tc>
          <w:tcPr>
            <w:tcW w:w="1440" w:type="dxa"/>
            <w:tcBorders>
              <w:top w:val="single" w:sz="4" w:space="0" w:color="auto"/>
              <w:left w:val="single" w:sz="4" w:space="0" w:color="auto"/>
              <w:bottom w:val="single" w:sz="4" w:space="0" w:color="auto"/>
              <w:right w:val="single" w:sz="4" w:space="0" w:color="auto"/>
            </w:tcBorders>
            <w:hideMark/>
          </w:tcPr>
          <w:p w14:paraId="6A21966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1</w:t>
            </w:r>
          </w:p>
        </w:tc>
        <w:tc>
          <w:tcPr>
            <w:tcW w:w="3600" w:type="dxa"/>
            <w:tcBorders>
              <w:top w:val="single" w:sz="4" w:space="0" w:color="auto"/>
              <w:left w:val="single" w:sz="4" w:space="0" w:color="auto"/>
              <w:bottom w:val="single" w:sz="4" w:space="0" w:color="auto"/>
              <w:right w:val="single" w:sz="4" w:space="0" w:color="auto"/>
            </w:tcBorders>
            <w:hideMark/>
          </w:tcPr>
          <w:p w14:paraId="2593E90D"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 constraint deactivated</w:t>
            </w:r>
          </w:p>
        </w:tc>
      </w:tr>
      <w:tr w:rsidR="00E4601F" w:rsidRPr="00746F54" w14:paraId="6FB59BC0"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2B424663"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2892FB5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29C0F500"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3C3E9"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5BFFA35A"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2</w:t>
            </w:r>
          </w:p>
        </w:tc>
        <w:tc>
          <w:tcPr>
            <w:tcW w:w="3600" w:type="dxa"/>
            <w:tcBorders>
              <w:top w:val="single" w:sz="4" w:space="0" w:color="auto"/>
              <w:left w:val="single" w:sz="4" w:space="0" w:color="auto"/>
              <w:bottom w:val="single" w:sz="4" w:space="0" w:color="auto"/>
              <w:right w:val="single" w:sz="4" w:space="0" w:color="auto"/>
            </w:tcBorders>
            <w:hideMark/>
          </w:tcPr>
          <w:p w14:paraId="792A8823"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 constraint deactivated</w:t>
            </w:r>
          </w:p>
        </w:tc>
      </w:tr>
      <w:tr w:rsidR="00E4601F" w:rsidRPr="00746F54" w14:paraId="278FEB40"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25250A77"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190F387F"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77F71BA0"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BD1DE"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3ADF1E85"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3</w:t>
            </w:r>
          </w:p>
        </w:tc>
        <w:tc>
          <w:tcPr>
            <w:tcW w:w="3600" w:type="dxa"/>
            <w:tcBorders>
              <w:top w:val="single" w:sz="4" w:space="0" w:color="auto"/>
              <w:left w:val="single" w:sz="4" w:space="0" w:color="auto"/>
              <w:bottom w:val="single" w:sz="4" w:space="0" w:color="auto"/>
              <w:right w:val="single" w:sz="4" w:space="0" w:color="auto"/>
            </w:tcBorders>
            <w:hideMark/>
          </w:tcPr>
          <w:p w14:paraId="1CA2AB3C"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 constraint deactivated</w:t>
            </w:r>
          </w:p>
        </w:tc>
      </w:tr>
      <w:tr w:rsidR="00E4601F" w:rsidRPr="00746F54" w14:paraId="610D0977"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5740B08B"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67C1AA79"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0BB5C5F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85EAF"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3FD54421"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4</w:t>
            </w:r>
          </w:p>
        </w:tc>
        <w:tc>
          <w:tcPr>
            <w:tcW w:w="3600" w:type="dxa"/>
            <w:tcBorders>
              <w:top w:val="single" w:sz="4" w:space="0" w:color="auto"/>
              <w:left w:val="single" w:sz="4" w:space="0" w:color="auto"/>
              <w:bottom w:val="single" w:sz="4" w:space="0" w:color="auto"/>
              <w:right w:val="single" w:sz="4" w:space="0" w:color="auto"/>
            </w:tcBorders>
            <w:hideMark/>
          </w:tcPr>
          <w:p w14:paraId="73A376AF"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 constraint deactivated</w:t>
            </w:r>
          </w:p>
        </w:tc>
      </w:tr>
      <w:tr w:rsidR="00E4601F" w:rsidRPr="00746F54" w14:paraId="1C278592" w14:textId="77777777" w:rsidTr="00D62922">
        <w:tc>
          <w:tcPr>
            <w:tcW w:w="4132" w:type="dxa"/>
            <w:vMerge w:val="restart"/>
            <w:tcBorders>
              <w:top w:val="single" w:sz="4" w:space="0" w:color="auto"/>
              <w:left w:val="single" w:sz="4" w:space="0" w:color="auto"/>
              <w:bottom w:val="single" w:sz="4" w:space="0" w:color="auto"/>
              <w:right w:val="single" w:sz="4" w:space="0" w:color="auto"/>
            </w:tcBorders>
            <w:vAlign w:val="center"/>
            <w:hideMark/>
          </w:tcPr>
          <w:p w14:paraId="4C30F7AA"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EDAM BAA located fully/partially in GHG regulation area does NOT fail EDAM RSE for HE 2</w:t>
            </w:r>
          </w:p>
        </w:tc>
        <w:tc>
          <w:tcPr>
            <w:tcW w:w="2160" w:type="dxa"/>
            <w:tcBorders>
              <w:top w:val="single" w:sz="4" w:space="0" w:color="auto"/>
              <w:left w:val="single" w:sz="4" w:space="0" w:color="auto"/>
              <w:bottom w:val="single" w:sz="4" w:space="0" w:color="auto"/>
              <w:right w:val="single" w:sz="4" w:space="0" w:color="auto"/>
            </w:tcBorders>
            <w:hideMark/>
          </w:tcPr>
          <w:p w14:paraId="0D9A220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6D1753C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32F519B0"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HE 2</w:t>
            </w:r>
          </w:p>
        </w:tc>
        <w:tc>
          <w:tcPr>
            <w:tcW w:w="1440" w:type="dxa"/>
            <w:tcBorders>
              <w:top w:val="single" w:sz="4" w:space="0" w:color="auto"/>
              <w:left w:val="single" w:sz="4" w:space="0" w:color="auto"/>
              <w:bottom w:val="single" w:sz="4" w:space="0" w:color="auto"/>
              <w:right w:val="single" w:sz="4" w:space="0" w:color="auto"/>
            </w:tcBorders>
            <w:hideMark/>
          </w:tcPr>
          <w:p w14:paraId="7FE7311A"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1</w:t>
            </w:r>
          </w:p>
        </w:tc>
        <w:tc>
          <w:tcPr>
            <w:tcW w:w="3600" w:type="dxa"/>
            <w:tcBorders>
              <w:top w:val="single" w:sz="4" w:space="0" w:color="auto"/>
              <w:left w:val="single" w:sz="4" w:space="0" w:color="auto"/>
              <w:bottom w:val="single" w:sz="4" w:space="0" w:color="auto"/>
              <w:right w:val="single" w:sz="4" w:space="0" w:color="auto"/>
            </w:tcBorders>
            <w:hideMark/>
          </w:tcPr>
          <w:p w14:paraId="6353AD2D"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 constraint active</w:t>
            </w:r>
          </w:p>
        </w:tc>
      </w:tr>
      <w:tr w:rsidR="00E4601F" w:rsidRPr="00746F54" w14:paraId="5DC20180"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333BECEF"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1CFD5DD3"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3F0528B1"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6DB41"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04614FE"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2</w:t>
            </w:r>
          </w:p>
        </w:tc>
        <w:tc>
          <w:tcPr>
            <w:tcW w:w="3600" w:type="dxa"/>
            <w:tcBorders>
              <w:top w:val="single" w:sz="4" w:space="0" w:color="auto"/>
              <w:left w:val="single" w:sz="4" w:space="0" w:color="auto"/>
              <w:bottom w:val="single" w:sz="4" w:space="0" w:color="auto"/>
              <w:right w:val="single" w:sz="4" w:space="0" w:color="auto"/>
            </w:tcBorders>
            <w:hideMark/>
          </w:tcPr>
          <w:p w14:paraId="4BA03FF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 constraint active</w:t>
            </w:r>
          </w:p>
        </w:tc>
      </w:tr>
      <w:tr w:rsidR="00E4601F" w:rsidRPr="00746F54" w14:paraId="27D364D7"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76C07C7D"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5174C451"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079C297A"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FDCD4"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8F76AA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3</w:t>
            </w:r>
          </w:p>
        </w:tc>
        <w:tc>
          <w:tcPr>
            <w:tcW w:w="3600" w:type="dxa"/>
            <w:tcBorders>
              <w:top w:val="single" w:sz="4" w:space="0" w:color="auto"/>
              <w:left w:val="single" w:sz="4" w:space="0" w:color="auto"/>
              <w:bottom w:val="single" w:sz="4" w:space="0" w:color="auto"/>
              <w:right w:val="single" w:sz="4" w:space="0" w:color="auto"/>
            </w:tcBorders>
            <w:hideMark/>
          </w:tcPr>
          <w:p w14:paraId="76C2BCD6"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 constraint active</w:t>
            </w:r>
          </w:p>
        </w:tc>
      </w:tr>
      <w:tr w:rsidR="00E4601F" w:rsidRPr="00746F54" w14:paraId="154003F3"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73D052C3"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1A03E7B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22DC5E06"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FD528"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29715C97"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4</w:t>
            </w:r>
          </w:p>
        </w:tc>
        <w:tc>
          <w:tcPr>
            <w:tcW w:w="3600" w:type="dxa"/>
            <w:tcBorders>
              <w:top w:val="single" w:sz="4" w:space="0" w:color="auto"/>
              <w:left w:val="single" w:sz="4" w:space="0" w:color="auto"/>
              <w:bottom w:val="single" w:sz="4" w:space="0" w:color="auto"/>
              <w:right w:val="single" w:sz="4" w:space="0" w:color="auto"/>
            </w:tcBorders>
            <w:hideMark/>
          </w:tcPr>
          <w:p w14:paraId="7CF9C679"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 constraint active</w:t>
            </w:r>
          </w:p>
        </w:tc>
      </w:tr>
      <w:tr w:rsidR="00E4601F" w:rsidRPr="00746F54" w14:paraId="2948A745" w14:textId="77777777" w:rsidTr="00D62922">
        <w:tc>
          <w:tcPr>
            <w:tcW w:w="4132" w:type="dxa"/>
            <w:vMerge w:val="restart"/>
            <w:tcBorders>
              <w:top w:val="single" w:sz="4" w:space="0" w:color="auto"/>
              <w:left w:val="single" w:sz="4" w:space="0" w:color="auto"/>
              <w:bottom w:val="single" w:sz="4" w:space="0" w:color="auto"/>
              <w:right w:val="single" w:sz="4" w:space="0" w:color="auto"/>
            </w:tcBorders>
            <w:hideMark/>
          </w:tcPr>
          <w:p w14:paraId="53E43BA5"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WEIM BAA located fully/partially in GHG regulation area fails WEIM RSE FMM 1, not FMM 2</w:t>
            </w:r>
          </w:p>
        </w:tc>
        <w:tc>
          <w:tcPr>
            <w:tcW w:w="2160" w:type="dxa"/>
            <w:tcBorders>
              <w:top w:val="single" w:sz="4" w:space="0" w:color="auto"/>
              <w:left w:val="single" w:sz="4" w:space="0" w:color="auto"/>
              <w:bottom w:val="single" w:sz="4" w:space="0" w:color="auto"/>
              <w:right w:val="single" w:sz="4" w:space="0" w:color="auto"/>
            </w:tcBorders>
            <w:hideMark/>
          </w:tcPr>
          <w:p w14:paraId="75D115E2"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71418359"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990" w:type="dxa"/>
            <w:tcBorders>
              <w:top w:val="single" w:sz="4" w:space="0" w:color="auto"/>
              <w:left w:val="single" w:sz="4" w:space="0" w:color="auto"/>
              <w:bottom w:val="single" w:sz="4" w:space="0" w:color="auto"/>
              <w:right w:val="single" w:sz="4" w:space="0" w:color="auto"/>
            </w:tcBorders>
          </w:tcPr>
          <w:p w14:paraId="7958DE19"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14D4D28"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1</w:t>
            </w:r>
          </w:p>
        </w:tc>
        <w:tc>
          <w:tcPr>
            <w:tcW w:w="3600" w:type="dxa"/>
            <w:tcBorders>
              <w:top w:val="single" w:sz="4" w:space="0" w:color="auto"/>
              <w:left w:val="single" w:sz="4" w:space="0" w:color="auto"/>
              <w:bottom w:val="single" w:sz="4" w:space="0" w:color="auto"/>
              <w:right w:val="single" w:sz="4" w:space="0" w:color="auto"/>
            </w:tcBorders>
            <w:hideMark/>
          </w:tcPr>
          <w:p w14:paraId="6D95DCE8"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 constraint deactivated</w:t>
            </w:r>
          </w:p>
        </w:tc>
      </w:tr>
      <w:tr w:rsidR="00E4601F" w:rsidRPr="00746F54" w14:paraId="34D4D609" w14:textId="77777777" w:rsidTr="00D62922">
        <w:tc>
          <w:tcPr>
            <w:tcW w:w="0" w:type="auto"/>
            <w:vMerge/>
            <w:tcBorders>
              <w:top w:val="single" w:sz="4" w:space="0" w:color="auto"/>
              <w:left w:val="single" w:sz="4" w:space="0" w:color="auto"/>
              <w:bottom w:val="single" w:sz="4" w:space="0" w:color="auto"/>
              <w:right w:val="single" w:sz="4" w:space="0" w:color="auto"/>
            </w:tcBorders>
            <w:vAlign w:val="center"/>
            <w:hideMark/>
          </w:tcPr>
          <w:p w14:paraId="6345C6A0" w14:textId="77777777" w:rsidR="00E4601F" w:rsidRPr="00746F54" w:rsidRDefault="00E4601F" w:rsidP="00D62922">
            <w:pPr>
              <w:spacing w:after="240" w:line="300" w:lineRule="auto"/>
              <w:jc w:val="left"/>
              <w:rPr>
                <w:rFonts w:ascii="Arial" w:hAnsi="Arial" w:cs="Arial"/>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06E1C9AF"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w:t>
            </w:r>
          </w:p>
        </w:tc>
        <w:tc>
          <w:tcPr>
            <w:tcW w:w="1980" w:type="dxa"/>
            <w:tcBorders>
              <w:top w:val="single" w:sz="4" w:space="0" w:color="auto"/>
              <w:left w:val="single" w:sz="4" w:space="0" w:color="auto"/>
              <w:bottom w:val="single" w:sz="4" w:space="0" w:color="auto"/>
              <w:right w:val="single" w:sz="4" w:space="0" w:color="auto"/>
            </w:tcBorders>
            <w:hideMark/>
          </w:tcPr>
          <w:p w14:paraId="1F030516"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200</w:t>
            </w:r>
          </w:p>
        </w:tc>
        <w:tc>
          <w:tcPr>
            <w:tcW w:w="990" w:type="dxa"/>
            <w:tcBorders>
              <w:top w:val="single" w:sz="4" w:space="0" w:color="auto"/>
              <w:left w:val="single" w:sz="4" w:space="0" w:color="auto"/>
              <w:bottom w:val="single" w:sz="4" w:space="0" w:color="auto"/>
              <w:right w:val="single" w:sz="4" w:space="0" w:color="auto"/>
            </w:tcBorders>
            <w:hideMark/>
          </w:tcPr>
          <w:p w14:paraId="51E6CD8C" w14:textId="77777777" w:rsidR="00E4601F" w:rsidRPr="00746F54" w:rsidRDefault="00E4601F" w:rsidP="00D62922">
            <w:pPr>
              <w:spacing w:after="240" w:line="300" w:lineRule="auto"/>
              <w:jc w:val="left"/>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E684250"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FMM 2</w:t>
            </w:r>
          </w:p>
        </w:tc>
        <w:tc>
          <w:tcPr>
            <w:tcW w:w="3600" w:type="dxa"/>
            <w:tcBorders>
              <w:top w:val="single" w:sz="4" w:space="0" w:color="auto"/>
              <w:left w:val="single" w:sz="4" w:space="0" w:color="auto"/>
              <w:bottom w:val="single" w:sz="4" w:space="0" w:color="auto"/>
              <w:right w:val="single" w:sz="4" w:space="0" w:color="auto"/>
            </w:tcBorders>
            <w:hideMark/>
          </w:tcPr>
          <w:p w14:paraId="20C4B15C" w14:textId="77777777" w:rsidR="00E4601F" w:rsidRPr="00746F54" w:rsidRDefault="00E4601F" w:rsidP="00D62922">
            <w:pPr>
              <w:spacing w:after="240" w:line="300" w:lineRule="auto"/>
              <w:jc w:val="left"/>
              <w:rPr>
                <w:rFonts w:ascii="Arial" w:hAnsi="Arial" w:cs="Arial"/>
                <w:sz w:val="22"/>
                <w:szCs w:val="22"/>
              </w:rPr>
            </w:pPr>
            <w:r w:rsidRPr="00746F54">
              <w:rPr>
                <w:rFonts w:ascii="Arial" w:hAnsi="Arial" w:cs="Arial"/>
                <w:sz w:val="22"/>
                <w:szCs w:val="22"/>
              </w:rPr>
              <w:t>100, constraint active</w:t>
            </w:r>
          </w:p>
        </w:tc>
      </w:tr>
    </w:tbl>
    <w:p w14:paraId="6423F946" w14:textId="77777777" w:rsidR="00E4601F" w:rsidRPr="00746F54" w:rsidRDefault="00E4601F" w:rsidP="00E4601F">
      <w:pPr>
        <w:pStyle w:val="ParaText"/>
        <w:rPr>
          <w:rFonts w:ascii="Arial" w:hAnsi="Arial" w:cs="Arial"/>
        </w:rPr>
      </w:pPr>
    </w:p>
    <w:p w14:paraId="531EE2BF" w14:textId="4FAAADCB" w:rsidR="00E4601F" w:rsidRPr="00746F54" w:rsidRDefault="00E4601F" w:rsidP="00E4104D">
      <w:pPr>
        <w:pStyle w:val="Heading2"/>
        <w:rPr>
          <w:rFonts w:ascii="Arial" w:hAnsi="Arial" w:cs="Arial"/>
        </w:rPr>
      </w:pPr>
      <w:bookmarkStart w:id="265" w:name="_Toc211337992"/>
      <w:bookmarkStart w:id="266" w:name="_Toc228963746"/>
      <w:r w:rsidRPr="00746F54">
        <w:rPr>
          <w:rFonts w:ascii="Arial" w:hAnsi="Arial" w:cs="Arial"/>
        </w:rPr>
        <w:t>Data Availability</w:t>
      </w:r>
      <w:bookmarkEnd w:id="265"/>
      <w:bookmarkEnd w:id="266"/>
      <w:r w:rsidRPr="00746F54">
        <w:rPr>
          <w:rFonts w:ascii="Arial" w:hAnsi="Arial" w:cs="Arial"/>
        </w:rPr>
        <w:t xml:space="preserve">  </w:t>
      </w:r>
    </w:p>
    <w:p w14:paraId="128310F5" w14:textId="78139A83" w:rsidR="00D13D20" w:rsidRPr="00746F54" w:rsidRDefault="00D13D20" w:rsidP="00E4601F">
      <w:pPr>
        <w:pStyle w:val="ParaText"/>
        <w:rPr>
          <w:rFonts w:ascii="Arial" w:hAnsi="Arial" w:cs="Arial"/>
          <w:u w:val="single"/>
        </w:rPr>
      </w:pPr>
      <w:r w:rsidRPr="00746F54">
        <w:rPr>
          <w:rFonts w:ascii="Arial" w:hAnsi="Arial" w:cs="Arial"/>
          <w:u w:val="single"/>
        </w:rPr>
        <w:t>Reference tariff section 33.32.6.1</w:t>
      </w:r>
    </w:p>
    <w:p w14:paraId="40ABFBC6" w14:textId="4AFA9252" w:rsidR="00E4601F" w:rsidRPr="00746F54" w:rsidRDefault="00E4601F" w:rsidP="00D13D20">
      <w:pPr>
        <w:pStyle w:val="ParaText"/>
        <w:rPr>
          <w:rFonts w:ascii="Arial" w:hAnsi="Arial" w:cs="Arial"/>
        </w:rPr>
      </w:pPr>
      <w:r w:rsidRPr="00746F54">
        <w:rPr>
          <w:rFonts w:ascii="Arial" w:hAnsi="Arial" w:cs="Arial"/>
        </w:rPr>
        <w:t>The CAISO notifies scheduling coordinators of their reference pass schedules and their market results reflecting the MW quantity of any energy supporting EDAM or WEIM transfers that served a particular GHG regulation area through the CAISO’s market results interface.  Scheduling coordinators may also review their settlement statements using the applicable charge code to identify the MWh and GHG marginal price for resources that receive an attribution of a GHG transfer into a GHG regulation area.  The CAISO will also disclose information regarding GHG transfers into GHG regulation areas to a governmental authority with oversight of a state GHG pricing program, so long as the information does not disclose confidential information of any individual market participant.  This information may be disclosed pursuant to a document subpoena or other request from a governmental authority</w:t>
      </w:r>
      <w:r w:rsidR="00D13D20" w:rsidRPr="00746F54">
        <w:rPr>
          <w:rFonts w:ascii="Arial" w:hAnsi="Arial" w:cs="Arial"/>
        </w:rPr>
        <w:t>.</w:t>
      </w:r>
      <w:r w:rsidRPr="00746F54">
        <w:rPr>
          <w:rFonts w:ascii="Arial" w:hAnsi="Arial" w:cs="Arial"/>
        </w:rPr>
        <w:t xml:space="preserve"> </w:t>
      </w:r>
    </w:p>
    <w:p w14:paraId="7093C271" w14:textId="77777777" w:rsidR="003434D5" w:rsidRPr="00746F54" w:rsidRDefault="003434D5" w:rsidP="003434D5">
      <w:pPr>
        <w:pStyle w:val="Heading1"/>
        <w:rPr>
          <w:rFonts w:ascii="Arial" w:hAnsi="Arial" w:cs="Arial"/>
        </w:rPr>
      </w:pPr>
      <w:bookmarkStart w:id="267" w:name="_Toc211337993"/>
      <w:bookmarkStart w:id="268" w:name="_Toc228963747"/>
      <w:r w:rsidRPr="00746F54">
        <w:rPr>
          <w:rFonts w:ascii="Arial" w:hAnsi="Arial" w:cs="Arial"/>
        </w:rPr>
        <w:lastRenderedPageBreak/>
        <w:t>Market Validation and Price Correction</w:t>
      </w:r>
      <w:bookmarkEnd w:id="267"/>
      <w:bookmarkEnd w:id="268"/>
    </w:p>
    <w:p w14:paraId="5D9945C9" w14:textId="795C940A" w:rsidR="003434D5" w:rsidRPr="00746F54" w:rsidRDefault="003434D5" w:rsidP="00BE1E79">
      <w:pPr>
        <w:pStyle w:val="Heading2"/>
        <w:rPr>
          <w:rFonts w:ascii="Arial" w:hAnsi="Arial" w:cs="Arial"/>
        </w:rPr>
      </w:pPr>
      <w:bookmarkStart w:id="269" w:name="_Toc211337994"/>
      <w:bookmarkStart w:id="270" w:name="_Toc228963748"/>
      <w:r w:rsidRPr="00746F54">
        <w:rPr>
          <w:rFonts w:ascii="Arial" w:hAnsi="Arial" w:cs="Arial"/>
        </w:rPr>
        <w:t>EDAM Price Validation</w:t>
      </w:r>
      <w:bookmarkEnd w:id="269"/>
      <w:bookmarkEnd w:id="270"/>
    </w:p>
    <w:p w14:paraId="304EDBDB" w14:textId="5A858A22" w:rsidR="006B1A60" w:rsidRPr="00746F54" w:rsidRDefault="006B1A60" w:rsidP="00776EBF">
      <w:pPr>
        <w:pStyle w:val="ParaText"/>
        <w:rPr>
          <w:rFonts w:ascii="Arial" w:hAnsi="Arial" w:cs="Arial"/>
        </w:rPr>
      </w:pPr>
      <w:r w:rsidRPr="00746F54">
        <w:rPr>
          <w:rFonts w:ascii="Arial" w:hAnsi="Arial" w:cs="Arial"/>
          <w:b/>
          <w:u w:val="single"/>
        </w:rPr>
        <w:t>Reference tariff section 33.35</w:t>
      </w:r>
    </w:p>
    <w:p w14:paraId="5C172A87" w14:textId="1053FCA5" w:rsidR="003434D5" w:rsidRPr="00746F54" w:rsidRDefault="003434D5" w:rsidP="003434D5">
      <w:pPr>
        <w:pStyle w:val="ParaText"/>
        <w:jc w:val="both"/>
        <w:rPr>
          <w:rFonts w:ascii="Arial" w:hAnsi="Arial" w:cs="Arial"/>
        </w:rPr>
      </w:pPr>
      <w:r w:rsidRPr="00746F54">
        <w:rPr>
          <w:rFonts w:ascii="Arial" w:hAnsi="Arial" w:cs="Arial"/>
        </w:rPr>
        <w:t>The CAISO has authority under its tariff to correct prices to ensure that settlement is consistent with the tariff. CAISO shall make reasonable efforts to ensure that LMPs published to OASIS and CMRI and ultimately used for settlement and billing are calculated accurately and reflect all pertinent operational data and system conditions, and are consistent with CAISO tariff provisions. CAISO shall continuously monitor all market clearing software solutions to identify anomalous resource commitment, dispatch levels, and prices that may have resulted from erroneous input data and/or hardware/software failure of the market applications. EDAM shall be subject to this Market Validation process.</w:t>
      </w:r>
    </w:p>
    <w:p w14:paraId="7FC75634" w14:textId="77777777" w:rsidR="003434D5" w:rsidRPr="00746F54" w:rsidRDefault="003434D5" w:rsidP="003434D5">
      <w:pPr>
        <w:pStyle w:val="ParaText"/>
        <w:jc w:val="both"/>
        <w:rPr>
          <w:rFonts w:ascii="Arial" w:hAnsi="Arial" w:cs="Arial"/>
        </w:rPr>
      </w:pPr>
      <w:r w:rsidRPr="00746F54">
        <w:rPr>
          <w:rFonts w:ascii="Arial" w:hAnsi="Arial" w:cs="Arial"/>
        </w:rPr>
        <w:t>The EDAM validation process has two phases:</w:t>
      </w:r>
    </w:p>
    <w:p w14:paraId="1D430EF1" w14:textId="77777777" w:rsidR="003434D5" w:rsidRPr="00746F54" w:rsidRDefault="003434D5" w:rsidP="003434D5">
      <w:pPr>
        <w:pStyle w:val="ParaText"/>
        <w:numPr>
          <w:ilvl w:val="0"/>
          <w:numId w:val="78"/>
        </w:numPr>
        <w:jc w:val="both"/>
        <w:rPr>
          <w:rFonts w:ascii="Arial" w:hAnsi="Arial" w:cs="Arial"/>
        </w:rPr>
      </w:pPr>
      <w:r w:rsidRPr="00746F54">
        <w:rPr>
          <w:rFonts w:ascii="Arial" w:hAnsi="Arial" w:cs="Arial"/>
        </w:rPr>
        <w:t>Phase I: Market Validation</w:t>
      </w:r>
    </w:p>
    <w:p w14:paraId="30A0E561" w14:textId="77777777" w:rsidR="003434D5" w:rsidRPr="00746F54" w:rsidRDefault="003434D5" w:rsidP="003434D5">
      <w:pPr>
        <w:pStyle w:val="ParaText"/>
        <w:ind w:left="720"/>
        <w:jc w:val="both"/>
        <w:rPr>
          <w:rFonts w:ascii="Arial" w:hAnsi="Arial" w:cs="Arial"/>
        </w:rPr>
      </w:pPr>
      <w:r w:rsidRPr="00746F54">
        <w:rPr>
          <w:rFonts w:ascii="Arial" w:hAnsi="Arial" w:cs="Arial"/>
        </w:rPr>
        <w:t>The CAISO will validate the EDAM results before they are published to OASIS and CMRI. During this time, the CAISO shall closely monitor results, and if time permits, correct problems and re-run the market as necessary to minimize the number of post-publication price corrections.</w:t>
      </w:r>
    </w:p>
    <w:p w14:paraId="278C8C10" w14:textId="77777777" w:rsidR="003434D5" w:rsidRPr="00746F54" w:rsidRDefault="003434D5" w:rsidP="003434D5">
      <w:pPr>
        <w:pStyle w:val="ParaText"/>
        <w:numPr>
          <w:ilvl w:val="0"/>
          <w:numId w:val="78"/>
        </w:numPr>
        <w:jc w:val="both"/>
        <w:rPr>
          <w:rFonts w:ascii="Arial" w:hAnsi="Arial" w:cs="Arial"/>
        </w:rPr>
      </w:pPr>
      <w:r w:rsidRPr="00746F54">
        <w:rPr>
          <w:rFonts w:ascii="Arial" w:hAnsi="Arial" w:cs="Arial"/>
        </w:rPr>
        <w:t>Phase II: Price Corrections</w:t>
      </w:r>
    </w:p>
    <w:p w14:paraId="55E602C6" w14:textId="096CD306" w:rsidR="003434D5" w:rsidRPr="00746F54" w:rsidRDefault="003434D5" w:rsidP="003434D5">
      <w:pPr>
        <w:pStyle w:val="ParaText"/>
        <w:ind w:left="720"/>
        <w:jc w:val="both"/>
        <w:rPr>
          <w:rFonts w:ascii="Arial" w:hAnsi="Arial" w:cs="Arial"/>
        </w:rPr>
      </w:pPr>
      <w:r w:rsidRPr="00746F54">
        <w:rPr>
          <w:rFonts w:ascii="Arial" w:hAnsi="Arial" w:cs="Arial"/>
        </w:rPr>
        <w:t>The price correction process is an analysis that occurs after the EDAM results are published to OASIS and CMRI. The purpose of the analysis is to identify and correct prices in any periods with error conditions or incorrect results. The price validation process ensures that the LMPs used for market settlement are based on the proper data, and that the market solution accurately reflects the power system conditions and CAISO operator actions that should have been considered in the relevant market process. This post-publication market validation process is completed within a prescribed window of time following each market. All prices published on OASIS or in other sources are subject to potential correction during the prescribed price correction window. All prices are considered final after the prescribed price correction time horizon has expired.</w:t>
      </w:r>
    </w:p>
    <w:p w14:paraId="74055246" w14:textId="77777777" w:rsidR="003434D5" w:rsidRPr="00746F54" w:rsidRDefault="003434D5" w:rsidP="00BE1E79">
      <w:pPr>
        <w:pStyle w:val="Heading2"/>
        <w:rPr>
          <w:rFonts w:ascii="Arial" w:hAnsi="Arial" w:cs="Arial"/>
        </w:rPr>
      </w:pPr>
      <w:bookmarkStart w:id="271" w:name="_Toc211337995"/>
      <w:bookmarkStart w:id="272" w:name="_Toc228963749"/>
      <w:r w:rsidRPr="00746F54">
        <w:rPr>
          <w:rFonts w:ascii="Arial" w:hAnsi="Arial" w:cs="Arial"/>
        </w:rPr>
        <w:lastRenderedPageBreak/>
        <w:t>Scope of Price Corrections</w:t>
      </w:r>
      <w:bookmarkEnd w:id="271"/>
      <w:bookmarkEnd w:id="272"/>
    </w:p>
    <w:p w14:paraId="0B323A4C" w14:textId="67F4B37F" w:rsidR="003434D5" w:rsidRPr="00746F54" w:rsidRDefault="003434D5" w:rsidP="003434D5">
      <w:pPr>
        <w:pStyle w:val="ParaText"/>
        <w:jc w:val="both"/>
        <w:rPr>
          <w:rFonts w:ascii="Arial" w:hAnsi="Arial" w:cs="Arial"/>
        </w:rPr>
      </w:pPr>
      <w:r w:rsidRPr="00746F54">
        <w:rPr>
          <w:rFonts w:ascii="Arial" w:hAnsi="Arial" w:cs="Arial"/>
        </w:rPr>
        <w:t>Prices may be corrected when: (</w:t>
      </w:r>
      <w:proofErr w:type="spellStart"/>
      <w:r w:rsidRPr="00746F54">
        <w:rPr>
          <w:rFonts w:ascii="Arial" w:hAnsi="Arial" w:cs="Arial"/>
        </w:rPr>
        <w:t>i</w:t>
      </w:r>
      <w:proofErr w:type="spellEnd"/>
      <w:r w:rsidRPr="00746F54">
        <w:rPr>
          <w:rFonts w:ascii="Arial" w:hAnsi="Arial" w:cs="Arial"/>
        </w:rPr>
        <w:t>) a market solution is determined to be invalid, or (ii) invalid prices are identified in an otherwise valid market solution. The following are some reasons that may be the cause of these conditions:</w:t>
      </w:r>
    </w:p>
    <w:p w14:paraId="20F33A9F" w14:textId="3196FF61" w:rsidR="003434D5" w:rsidRPr="00746F54" w:rsidRDefault="003434D5" w:rsidP="003434D5">
      <w:pPr>
        <w:pStyle w:val="ParaText"/>
        <w:numPr>
          <w:ilvl w:val="0"/>
          <w:numId w:val="78"/>
        </w:numPr>
        <w:jc w:val="both"/>
        <w:rPr>
          <w:rFonts w:ascii="Arial" w:hAnsi="Arial" w:cs="Arial"/>
        </w:rPr>
      </w:pPr>
      <w:r w:rsidRPr="00746F54">
        <w:rPr>
          <w:rFonts w:ascii="Arial" w:hAnsi="Arial" w:cs="Arial"/>
        </w:rPr>
        <w:t xml:space="preserve">Data input failure. Missing or incorrect versions of one or more data elements input to the market applications may result in an invalid market solution and/or prices. </w:t>
      </w:r>
    </w:p>
    <w:p w14:paraId="2E1CA467" w14:textId="766C0FD3" w:rsidR="003434D5" w:rsidRPr="00746F54" w:rsidRDefault="003434D5" w:rsidP="003434D5">
      <w:pPr>
        <w:pStyle w:val="ParaText"/>
        <w:numPr>
          <w:ilvl w:val="0"/>
          <w:numId w:val="78"/>
        </w:numPr>
        <w:jc w:val="both"/>
        <w:rPr>
          <w:rFonts w:ascii="Arial" w:hAnsi="Arial" w:cs="Arial"/>
        </w:rPr>
      </w:pPr>
      <w:r w:rsidRPr="00746F54">
        <w:rPr>
          <w:rFonts w:ascii="Arial" w:hAnsi="Arial" w:cs="Arial"/>
        </w:rPr>
        <w:t xml:space="preserve">Software defect or failure. If the market software is not operating </w:t>
      </w:r>
      <w:proofErr w:type="gramStart"/>
      <w:r w:rsidRPr="00746F54">
        <w:rPr>
          <w:rFonts w:ascii="Arial" w:hAnsi="Arial" w:cs="Arial"/>
        </w:rPr>
        <w:t>consistent</w:t>
      </w:r>
      <w:proofErr w:type="gramEnd"/>
      <w:r w:rsidRPr="00746F54">
        <w:rPr>
          <w:rFonts w:ascii="Arial" w:hAnsi="Arial" w:cs="Arial"/>
        </w:rPr>
        <w:t xml:space="preserve"> with established business rules and market design elements, the CAISO will work with its software vendors to determine the root cause and identify a software fix. If these cases impact market prices, the CAISO may correct invalid prices.</w:t>
      </w:r>
    </w:p>
    <w:p w14:paraId="1BDBD791" w14:textId="09EA911A" w:rsidR="003434D5" w:rsidRPr="00746F54" w:rsidRDefault="003434D5" w:rsidP="003434D5">
      <w:pPr>
        <w:pStyle w:val="ParaText"/>
        <w:numPr>
          <w:ilvl w:val="0"/>
          <w:numId w:val="78"/>
        </w:numPr>
        <w:jc w:val="both"/>
        <w:rPr>
          <w:rFonts w:ascii="Arial" w:hAnsi="Arial" w:cs="Arial"/>
        </w:rPr>
      </w:pPr>
      <w:r w:rsidRPr="00746F54">
        <w:rPr>
          <w:rFonts w:ascii="Arial" w:hAnsi="Arial" w:cs="Arial"/>
        </w:rPr>
        <w:t>Inconsistency with the tariff.  Market results will be validated to be consistent with the CAISO tariff, and where applicable, prices may be corrected to meet this goal. This includes, but is not limited to ensuring that: (</w:t>
      </w:r>
      <w:proofErr w:type="spellStart"/>
      <w:r w:rsidRPr="00746F54">
        <w:rPr>
          <w:rFonts w:ascii="Arial" w:hAnsi="Arial" w:cs="Arial"/>
        </w:rPr>
        <w:t>i</w:t>
      </w:r>
      <w:proofErr w:type="spellEnd"/>
      <w:r w:rsidRPr="00746F54">
        <w:rPr>
          <w:rFonts w:ascii="Arial" w:hAnsi="Arial" w:cs="Arial"/>
        </w:rPr>
        <w:t>) price setting resources are eligible to do so, and (ii) binding constraints are applied (or relaxed) in the appropriate priority order.</w:t>
      </w:r>
    </w:p>
    <w:p w14:paraId="5BE9887A" w14:textId="06CD5A3B" w:rsidR="003434D5" w:rsidRPr="00746F54" w:rsidRDefault="003434D5" w:rsidP="003434D5">
      <w:pPr>
        <w:pStyle w:val="ParaText"/>
        <w:jc w:val="both"/>
        <w:rPr>
          <w:rFonts w:ascii="Arial" w:hAnsi="Arial" w:cs="Arial"/>
        </w:rPr>
      </w:pPr>
      <w:r w:rsidRPr="00746F54">
        <w:rPr>
          <w:rFonts w:ascii="Arial" w:hAnsi="Arial" w:cs="Arial"/>
        </w:rPr>
        <w:t>Section 35.3 of the CAISO tariff provides additional details regarding the basis for price corrections.</w:t>
      </w:r>
    </w:p>
    <w:p w14:paraId="29259001" w14:textId="77777777" w:rsidR="003434D5" w:rsidRPr="00746F54" w:rsidRDefault="003434D5" w:rsidP="003434D5">
      <w:pPr>
        <w:pStyle w:val="ParaText"/>
        <w:jc w:val="both"/>
        <w:rPr>
          <w:rFonts w:ascii="Arial" w:hAnsi="Arial" w:cs="Arial"/>
        </w:rPr>
      </w:pPr>
      <w:r w:rsidRPr="00746F54">
        <w:rPr>
          <w:rFonts w:ascii="Arial" w:hAnsi="Arial" w:cs="Arial"/>
        </w:rPr>
        <w:t>The following are some qualifications to the scope of price corrections:</w:t>
      </w:r>
    </w:p>
    <w:p w14:paraId="21124E7B" w14:textId="0F0B3D5D" w:rsidR="003434D5" w:rsidRPr="00746F54" w:rsidRDefault="003434D5" w:rsidP="003434D5">
      <w:pPr>
        <w:pStyle w:val="ParaText"/>
        <w:numPr>
          <w:ilvl w:val="0"/>
          <w:numId w:val="79"/>
        </w:numPr>
        <w:jc w:val="both"/>
        <w:rPr>
          <w:rFonts w:ascii="Arial" w:hAnsi="Arial" w:cs="Arial"/>
        </w:rPr>
      </w:pPr>
      <w:r w:rsidRPr="00746F54">
        <w:rPr>
          <w:rFonts w:ascii="Arial" w:hAnsi="Arial" w:cs="Arial"/>
        </w:rPr>
        <w:t>Prices due to scarcity of resource bids will not be a cause for price corrections.</w:t>
      </w:r>
    </w:p>
    <w:p w14:paraId="56598F89" w14:textId="73CBC030" w:rsidR="003434D5" w:rsidRPr="00746F54" w:rsidRDefault="003434D5" w:rsidP="003434D5">
      <w:pPr>
        <w:pStyle w:val="ParaText"/>
        <w:numPr>
          <w:ilvl w:val="0"/>
          <w:numId w:val="79"/>
        </w:numPr>
        <w:jc w:val="both"/>
        <w:rPr>
          <w:rFonts w:ascii="Arial" w:hAnsi="Arial" w:cs="Arial"/>
        </w:rPr>
      </w:pPr>
      <w:r w:rsidRPr="00746F54">
        <w:rPr>
          <w:rFonts w:ascii="Arial" w:hAnsi="Arial" w:cs="Arial"/>
        </w:rPr>
        <w:t>The extent to which bids are mitigated in the MPM process has a direct impact on the market clearing prices in the EDAM. Therefore, these Security Constrained Economic Commitment (SCUC) solutions will be subject to market validation principles. However, it should be noted that prices resulting from the MPM SCUC passes are not themselves validated, as these prices are not financially binding.</w:t>
      </w:r>
    </w:p>
    <w:p w14:paraId="44E46637" w14:textId="19B7DA85" w:rsidR="003434D5" w:rsidRPr="00746F54" w:rsidRDefault="003434D5" w:rsidP="003434D5">
      <w:pPr>
        <w:pStyle w:val="ParaText"/>
        <w:numPr>
          <w:ilvl w:val="0"/>
          <w:numId w:val="79"/>
        </w:numPr>
        <w:jc w:val="both"/>
        <w:rPr>
          <w:rFonts w:ascii="Arial" w:hAnsi="Arial" w:cs="Arial"/>
        </w:rPr>
      </w:pPr>
      <w:r w:rsidRPr="00746F54">
        <w:rPr>
          <w:rFonts w:ascii="Arial" w:hAnsi="Arial" w:cs="Arial"/>
        </w:rPr>
        <w:t>The EDAM is a large-scale non-linear optimization process that uses a</w:t>
      </w:r>
      <w:r w:rsidRPr="00746F54" w:rsidDel="0087336B">
        <w:rPr>
          <w:rFonts w:ascii="Arial" w:hAnsi="Arial" w:cs="Arial"/>
        </w:rPr>
        <w:t xml:space="preserve"> </w:t>
      </w:r>
      <w:r w:rsidRPr="00746F54">
        <w:rPr>
          <w:rFonts w:ascii="Arial" w:hAnsi="Arial" w:cs="Arial"/>
        </w:rPr>
        <w:t xml:space="preserve">mixed integer programming (MIP) methodology to address the numerous modeling requirements.  Given the time needed to find the best optimal solution and the numerous constraints, a suboptimal result is possible.  The CAISO monitors the MIP parameters related to the EDAM solution during the market run but does not correct prices when there are suboptimal results. </w:t>
      </w:r>
    </w:p>
    <w:p w14:paraId="093237F5" w14:textId="77777777" w:rsidR="003434D5" w:rsidRPr="00746F54" w:rsidRDefault="003434D5" w:rsidP="003434D5">
      <w:pPr>
        <w:pStyle w:val="ParaText"/>
        <w:ind w:left="360"/>
        <w:rPr>
          <w:rFonts w:ascii="Arial" w:hAnsi="Arial" w:cs="Arial"/>
        </w:rPr>
      </w:pPr>
      <w:r w:rsidRPr="00746F54">
        <w:rPr>
          <w:rFonts w:ascii="Arial" w:hAnsi="Arial" w:cs="Arial"/>
        </w:rPr>
        <w:t>Specifically, the following elements are in scope for EDAM price corrections:</w:t>
      </w:r>
    </w:p>
    <w:p w14:paraId="66995BA9" w14:textId="462B1C49" w:rsidR="003434D5" w:rsidRPr="00746F54" w:rsidRDefault="003434D5" w:rsidP="003434D5">
      <w:pPr>
        <w:pStyle w:val="ParaText"/>
        <w:numPr>
          <w:ilvl w:val="0"/>
          <w:numId w:val="80"/>
        </w:numPr>
        <w:rPr>
          <w:rFonts w:ascii="Arial" w:hAnsi="Arial" w:cs="Arial"/>
        </w:rPr>
      </w:pPr>
      <w:r w:rsidRPr="00746F54">
        <w:rPr>
          <w:rFonts w:ascii="Arial" w:hAnsi="Arial" w:cs="Arial"/>
        </w:rPr>
        <w:lastRenderedPageBreak/>
        <w:t>Final Hourly LMPs for all Pricing Nodes (</w:t>
      </w:r>
      <w:proofErr w:type="spellStart"/>
      <w:r w:rsidRPr="00746F54">
        <w:rPr>
          <w:rFonts w:ascii="Arial" w:hAnsi="Arial" w:cs="Arial"/>
        </w:rPr>
        <w:t>Pnode</w:t>
      </w:r>
      <w:proofErr w:type="spellEnd"/>
      <w:r w:rsidRPr="00746F54">
        <w:rPr>
          <w:rFonts w:ascii="Arial" w:hAnsi="Arial" w:cs="Arial"/>
        </w:rPr>
        <w:t>) and Aggregated Pricing Nodes (</w:t>
      </w:r>
      <w:proofErr w:type="spellStart"/>
      <w:r w:rsidRPr="00746F54">
        <w:rPr>
          <w:rFonts w:ascii="Arial" w:hAnsi="Arial" w:cs="Arial"/>
        </w:rPr>
        <w:t>APnode</w:t>
      </w:r>
      <w:proofErr w:type="spellEnd"/>
      <w:r w:rsidRPr="00746F54">
        <w:rPr>
          <w:rFonts w:ascii="Arial" w:hAnsi="Arial" w:cs="Arial"/>
        </w:rPr>
        <w:t>)</w:t>
      </w:r>
    </w:p>
    <w:p w14:paraId="245E624D"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Marginal energy cost component</w:t>
      </w:r>
    </w:p>
    <w:p w14:paraId="53EDD9C5"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Marginal congestion cost component</w:t>
      </w:r>
    </w:p>
    <w:p w14:paraId="66C84470"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Marginal loss cost component</w:t>
      </w:r>
    </w:p>
    <w:p w14:paraId="2BF66FC7" w14:textId="7EE8FE26" w:rsidR="003434D5" w:rsidRPr="00746F54" w:rsidRDefault="003434D5" w:rsidP="003434D5">
      <w:pPr>
        <w:pStyle w:val="ParaText"/>
        <w:numPr>
          <w:ilvl w:val="0"/>
          <w:numId w:val="80"/>
        </w:numPr>
        <w:rPr>
          <w:rFonts w:ascii="Arial" w:hAnsi="Arial" w:cs="Arial"/>
        </w:rPr>
      </w:pPr>
      <w:r w:rsidRPr="00746F54">
        <w:rPr>
          <w:rFonts w:ascii="Arial" w:hAnsi="Arial" w:cs="Arial"/>
        </w:rPr>
        <w:t xml:space="preserve">Final Hourly ASMPs for all </w:t>
      </w:r>
      <w:proofErr w:type="spellStart"/>
      <w:r w:rsidRPr="00746F54">
        <w:rPr>
          <w:rFonts w:ascii="Arial" w:hAnsi="Arial" w:cs="Arial"/>
        </w:rPr>
        <w:t>Pnodes</w:t>
      </w:r>
      <w:proofErr w:type="spellEnd"/>
    </w:p>
    <w:p w14:paraId="282AFF22"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Final hourly transmission constraint shadow prices at each transmission interface</w:t>
      </w:r>
    </w:p>
    <w:p w14:paraId="148A8D07"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SP-Tie LMPs</w:t>
      </w:r>
    </w:p>
    <w:p w14:paraId="2250F892"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Final Imbalance Reserve Up and Down LMPs</w:t>
      </w:r>
    </w:p>
    <w:p w14:paraId="175CC744"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 xml:space="preserve">EDAM Balancing Area Transfer Prices </w:t>
      </w:r>
    </w:p>
    <w:p w14:paraId="5D554774"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Transfer System Resource Prices</w:t>
      </w:r>
    </w:p>
    <w:p w14:paraId="2BA31F7C" w14:textId="77777777" w:rsidR="003434D5" w:rsidRPr="00746F54" w:rsidRDefault="003434D5" w:rsidP="003434D5">
      <w:pPr>
        <w:pStyle w:val="ParaText"/>
        <w:numPr>
          <w:ilvl w:val="0"/>
          <w:numId w:val="80"/>
        </w:numPr>
        <w:rPr>
          <w:rFonts w:ascii="Arial" w:hAnsi="Arial" w:cs="Arial"/>
        </w:rPr>
      </w:pPr>
      <w:r w:rsidRPr="00746F54">
        <w:rPr>
          <w:rFonts w:ascii="Arial" w:hAnsi="Arial" w:cs="Arial"/>
        </w:rPr>
        <w:t>Final Reliability Capacity Up and Down Prices</w:t>
      </w:r>
    </w:p>
    <w:p w14:paraId="2BFB9291" w14:textId="77777777" w:rsidR="003434D5" w:rsidRPr="00746F54" w:rsidRDefault="003434D5" w:rsidP="00212FCB">
      <w:pPr>
        <w:pStyle w:val="Heading2"/>
        <w:rPr>
          <w:rFonts w:ascii="Arial" w:hAnsi="Arial" w:cs="Arial"/>
        </w:rPr>
      </w:pPr>
      <w:bookmarkStart w:id="273" w:name="_Toc211337996"/>
      <w:bookmarkStart w:id="274" w:name="_Toc228963750"/>
      <w:r w:rsidRPr="00746F54">
        <w:rPr>
          <w:rFonts w:ascii="Arial" w:hAnsi="Arial" w:cs="Arial"/>
        </w:rPr>
        <w:t>Price Correction Process</w:t>
      </w:r>
      <w:bookmarkEnd w:id="273"/>
      <w:bookmarkEnd w:id="274"/>
    </w:p>
    <w:p w14:paraId="6D329931" w14:textId="58904F57" w:rsidR="003434D5" w:rsidRPr="00746F54" w:rsidRDefault="003434D5" w:rsidP="003434D5">
      <w:pPr>
        <w:pStyle w:val="ParaText"/>
        <w:jc w:val="both"/>
        <w:rPr>
          <w:rFonts w:ascii="Arial" w:hAnsi="Arial" w:cs="Arial"/>
        </w:rPr>
      </w:pPr>
      <w:r w:rsidRPr="00746F54">
        <w:rPr>
          <w:rFonts w:ascii="Arial" w:hAnsi="Arial" w:cs="Arial"/>
        </w:rPr>
        <w:t>The price correction process starts with a validation of all prices indicated above, beginning immediately after prices are available, and ending after the Price Correction Time Horizon has closed for that trading day to identify if any corrections are necessary. The validation process is to ensure appropriate and accurate inputs are used in settlements as well as to ensure prices accurately reflect system conditions.</w:t>
      </w:r>
    </w:p>
    <w:p w14:paraId="492BE8CF" w14:textId="77777777" w:rsidR="003434D5" w:rsidRPr="00746F54" w:rsidRDefault="003434D5" w:rsidP="00BE1E79">
      <w:pPr>
        <w:pStyle w:val="Heading3"/>
        <w:rPr>
          <w:rFonts w:ascii="Arial" w:hAnsi="Arial" w:cs="Arial"/>
        </w:rPr>
      </w:pPr>
      <w:bookmarkStart w:id="275" w:name="_Toc211337997"/>
      <w:r w:rsidRPr="00746F54">
        <w:rPr>
          <w:rFonts w:ascii="Arial" w:hAnsi="Arial" w:cs="Arial"/>
        </w:rPr>
        <w:t>Price Correction Methods</w:t>
      </w:r>
      <w:bookmarkEnd w:id="275"/>
    </w:p>
    <w:p w14:paraId="348F185A" w14:textId="77777777" w:rsidR="003434D5" w:rsidRPr="00746F54" w:rsidRDefault="003434D5" w:rsidP="003434D5">
      <w:pPr>
        <w:pStyle w:val="ParaText"/>
        <w:jc w:val="both"/>
        <w:rPr>
          <w:rFonts w:ascii="Arial" w:hAnsi="Arial" w:cs="Arial"/>
        </w:rPr>
      </w:pPr>
      <w:r w:rsidRPr="00746F54">
        <w:rPr>
          <w:rFonts w:ascii="Arial" w:hAnsi="Arial" w:cs="Arial"/>
        </w:rPr>
        <w:t>Where feasible and practical, the CAISO will correct invalid prices to conform to the relevant CAISO Tariff provisions. Where this is neither feasible nor practical, the CAISO will correct prices as close as reasonably possible to the price that should have resulted under the CAISO Tariff provisions, using the most accurate data available, and in a manner that is consistent with the prevalent system conditions at that time. The CAISO will use one of the following methods, as appropriate, with respect to the nature of the invalid price conditions.</w:t>
      </w:r>
    </w:p>
    <w:p w14:paraId="70A615A6" w14:textId="317B20D4" w:rsidR="003434D5" w:rsidRPr="00746F54" w:rsidRDefault="003434D5" w:rsidP="003434D5">
      <w:pPr>
        <w:pStyle w:val="ParaText"/>
        <w:jc w:val="both"/>
        <w:rPr>
          <w:rFonts w:ascii="Arial" w:hAnsi="Arial" w:cs="Arial"/>
        </w:rPr>
      </w:pPr>
      <w:r w:rsidRPr="00746F54">
        <w:rPr>
          <w:rFonts w:ascii="Arial" w:hAnsi="Arial" w:cs="Arial"/>
        </w:rPr>
        <w:t xml:space="preserve">The order of the price correction methods listed below are shown in order of preference from most preferred to least preferred. When correction of prices can be done on isolated pricing locations </w:t>
      </w:r>
      <w:r w:rsidRPr="00746F54">
        <w:rPr>
          <w:rFonts w:ascii="Arial" w:hAnsi="Arial" w:cs="Arial"/>
        </w:rPr>
        <w:lastRenderedPageBreak/>
        <w:t>or resources without impacting the</w:t>
      </w:r>
      <w:r w:rsidR="003F76EC" w:rsidRPr="00746F54">
        <w:rPr>
          <w:rFonts w:ascii="Arial" w:hAnsi="Arial" w:cs="Arial"/>
        </w:rPr>
        <w:t xml:space="preserve"> overall</w:t>
      </w:r>
      <w:r w:rsidRPr="00746F54">
        <w:rPr>
          <w:rFonts w:ascii="Arial" w:hAnsi="Arial" w:cs="Arial"/>
        </w:rPr>
        <w:t xml:space="preserve"> market solution, this method is preferred. If this is not possible, the preferred price correction method is to re-run the affected markets, with the root cause of the invalidation corrected. However, this may not always be feasible due to unrecoverable data loss, or may not always be practical within the Price Correction Time Horizon. In these situations, interval or solution replication will be used.</w:t>
      </w:r>
    </w:p>
    <w:p w14:paraId="2E998328" w14:textId="77777777" w:rsidR="003434D5" w:rsidRPr="00746F54" w:rsidRDefault="003434D5" w:rsidP="00BE1E79">
      <w:pPr>
        <w:pStyle w:val="Heading4"/>
        <w:rPr>
          <w:rFonts w:ascii="Arial" w:hAnsi="Arial" w:cs="Arial"/>
        </w:rPr>
      </w:pPr>
      <w:r w:rsidRPr="00746F54">
        <w:rPr>
          <w:rFonts w:ascii="Arial" w:hAnsi="Arial" w:cs="Arial"/>
        </w:rPr>
        <w:t>Isolated Price Corrections</w:t>
      </w:r>
    </w:p>
    <w:p w14:paraId="52496721" w14:textId="4D8104D2" w:rsidR="003434D5" w:rsidRPr="00746F54" w:rsidRDefault="003434D5" w:rsidP="003434D5">
      <w:pPr>
        <w:pStyle w:val="ParaText"/>
        <w:jc w:val="both"/>
        <w:rPr>
          <w:rFonts w:ascii="Arial" w:hAnsi="Arial" w:cs="Arial"/>
        </w:rPr>
      </w:pPr>
      <w:r w:rsidRPr="00746F54">
        <w:rPr>
          <w:rFonts w:ascii="Arial" w:hAnsi="Arial" w:cs="Arial"/>
        </w:rPr>
        <w:t xml:space="preserve">When possible, the CAISO will selectively recalculate invalid </w:t>
      </w:r>
      <w:proofErr w:type="spellStart"/>
      <w:r w:rsidRPr="00746F54">
        <w:rPr>
          <w:rFonts w:ascii="Arial" w:hAnsi="Arial" w:cs="Arial"/>
        </w:rPr>
        <w:t>Pnode</w:t>
      </w:r>
      <w:proofErr w:type="spellEnd"/>
      <w:r w:rsidRPr="00746F54">
        <w:rPr>
          <w:rFonts w:ascii="Arial" w:hAnsi="Arial" w:cs="Arial"/>
        </w:rPr>
        <w:t xml:space="preserve"> and </w:t>
      </w:r>
      <w:proofErr w:type="spellStart"/>
      <w:r w:rsidRPr="00746F54">
        <w:rPr>
          <w:rFonts w:ascii="Arial" w:hAnsi="Arial" w:cs="Arial"/>
        </w:rPr>
        <w:t>APnode</w:t>
      </w:r>
      <w:proofErr w:type="spellEnd"/>
      <w:r w:rsidRPr="00746F54">
        <w:rPr>
          <w:rFonts w:ascii="Arial" w:hAnsi="Arial" w:cs="Arial"/>
        </w:rPr>
        <w:t xml:space="preserve"> prices, such that the market optimization need not be re-run. This method can only be used when invalid prices are isolated and when corrections can be made such that no other market clearing prices are affected by the correction.</w:t>
      </w:r>
    </w:p>
    <w:p w14:paraId="65062F68" w14:textId="77777777" w:rsidR="003434D5" w:rsidRPr="00746F54" w:rsidRDefault="003434D5" w:rsidP="00BE1E79">
      <w:pPr>
        <w:pStyle w:val="Heading4"/>
        <w:rPr>
          <w:rFonts w:ascii="Arial" w:hAnsi="Arial" w:cs="Arial"/>
        </w:rPr>
      </w:pPr>
      <w:r w:rsidRPr="00746F54">
        <w:rPr>
          <w:rFonts w:ascii="Arial" w:hAnsi="Arial" w:cs="Arial"/>
        </w:rPr>
        <w:t>Market Re-Runs</w:t>
      </w:r>
    </w:p>
    <w:p w14:paraId="3955A17E" w14:textId="77777777" w:rsidR="003434D5" w:rsidRPr="00746F54" w:rsidRDefault="003434D5" w:rsidP="003434D5">
      <w:pPr>
        <w:pStyle w:val="ParaText"/>
        <w:jc w:val="both"/>
        <w:rPr>
          <w:rFonts w:ascii="Arial" w:hAnsi="Arial" w:cs="Arial"/>
        </w:rPr>
      </w:pPr>
      <w:r w:rsidRPr="00746F54">
        <w:rPr>
          <w:rFonts w:ascii="Arial" w:hAnsi="Arial" w:cs="Arial"/>
        </w:rPr>
        <w:t>A market solution may be determined to be wholly invalid because of hardware or software failure, incorrect data or solution parameters, or any other factor that affects system wide results. When such a market solution is identified, the CAISO will attempt to recreate a valid SCUC solution for the affected market run. When the source of the problem is incorrect data, the market re-run will use as much validated data as possible from the original market run.  To replace the problematic data, CAISO will either (</w:t>
      </w:r>
      <w:proofErr w:type="spellStart"/>
      <w:r w:rsidRPr="00746F54">
        <w:rPr>
          <w:rFonts w:ascii="Arial" w:hAnsi="Arial" w:cs="Arial"/>
        </w:rPr>
        <w:t>i</w:t>
      </w:r>
      <w:proofErr w:type="spellEnd"/>
      <w:r w:rsidRPr="00746F54">
        <w:rPr>
          <w:rFonts w:ascii="Arial" w:hAnsi="Arial" w:cs="Arial"/>
        </w:rPr>
        <w:t>) restore the correct data when possible, or (ii) recreate or replicate data using the best available alternate data sources.</w:t>
      </w:r>
    </w:p>
    <w:p w14:paraId="25212A27" w14:textId="77777777" w:rsidR="003434D5" w:rsidRPr="00746F54" w:rsidRDefault="003434D5" w:rsidP="00BE1E79">
      <w:pPr>
        <w:pStyle w:val="Heading4"/>
        <w:rPr>
          <w:rFonts w:ascii="Arial" w:hAnsi="Arial" w:cs="Arial"/>
        </w:rPr>
      </w:pPr>
      <w:r w:rsidRPr="00746F54">
        <w:rPr>
          <w:rFonts w:ascii="Arial" w:hAnsi="Arial" w:cs="Arial"/>
        </w:rPr>
        <w:t>Replicated Prices</w:t>
      </w:r>
    </w:p>
    <w:p w14:paraId="045AE9AC" w14:textId="31232D62" w:rsidR="003434D5" w:rsidRPr="00746F54" w:rsidRDefault="003434D5" w:rsidP="003434D5">
      <w:pPr>
        <w:pStyle w:val="ParaText"/>
        <w:jc w:val="both"/>
        <w:rPr>
          <w:rFonts w:ascii="Arial" w:hAnsi="Arial" w:cs="Arial"/>
        </w:rPr>
      </w:pPr>
      <w:r w:rsidRPr="00746F54">
        <w:rPr>
          <w:rFonts w:ascii="Arial" w:hAnsi="Arial" w:cs="Arial"/>
        </w:rPr>
        <w:t>If the entire market solution is deemed to be invalid, all prices will be corrected using the re-run method specified above. In no cases will an invalidated EDAM solution be replaced with a valid EDAM solution from a previous trading day.</w:t>
      </w:r>
    </w:p>
    <w:p w14:paraId="2EC3143F" w14:textId="77777777" w:rsidR="003434D5" w:rsidRPr="00746F54" w:rsidRDefault="003434D5" w:rsidP="003434D5">
      <w:pPr>
        <w:pStyle w:val="ParaText"/>
        <w:jc w:val="both"/>
        <w:rPr>
          <w:rFonts w:ascii="Arial" w:hAnsi="Arial" w:cs="Arial"/>
        </w:rPr>
      </w:pPr>
      <w:r w:rsidRPr="00746F54">
        <w:rPr>
          <w:rFonts w:ascii="Arial" w:hAnsi="Arial" w:cs="Arial"/>
        </w:rPr>
        <w:t>Interval replication shall only apply in EDAM when some but not all hourly intervals within a valid market run are deemed to be invalid and the market is not rerun as explained above. This condition is expected to be rare. In such a case, prices for an invalidated interval shall be replicated from prices for a validated interval that best represents the market conditions in the invalid interval.  This will be an adjacent interval in most cases.</w:t>
      </w:r>
    </w:p>
    <w:p w14:paraId="0CEC8789" w14:textId="77777777" w:rsidR="003434D5" w:rsidRPr="00746F54" w:rsidRDefault="003434D5" w:rsidP="00BE1E79">
      <w:pPr>
        <w:pStyle w:val="Heading3"/>
        <w:rPr>
          <w:rFonts w:ascii="Arial" w:hAnsi="Arial" w:cs="Arial"/>
        </w:rPr>
      </w:pPr>
      <w:bookmarkStart w:id="276" w:name="_Toc211337998"/>
      <w:r w:rsidRPr="00746F54">
        <w:rPr>
          <w:rFonts w:ascii="Arial" w:hAnsi="Arial" w:cs="Arial"/>
        </w:rPr>
        <w:t>Publication</w:t>
      </w:r>
      <w:bookmarkEnd w:id="276"/>
    </w:p>
    <w:p w14:paraId="691853A8" w14:textId="77777777" w:rsidR="003434D5" w:rsidRPr="00746F54" w:rsidRDefault="003434D5" w:rsidP="003434D5">
      <w:pPr>
        <w:pStyle w:val="ParaText"/>
        <w:jc w:val="both"/>
        <w:rPr>
          <w:rFonts w:ascii="Arial" w:hAnsi="Arial" w:cs="Arial"/>
        </w:rPr>
      </w:pPr>
      <w:r w:rsidRPr="00746F54">
        <w:rPr>
          <w:rFonts w:ascii="Arial" w:hAnsi="Arial" w:cs="Arial"/>
        </w:rPr>
        <w:t xml:space="preserve">All prices published to OASIS and CMRI are considered provisional until the validation and Price Correction Time Horizon is completed. If a price correction is needed for a particular trade day and that correction cannot be made within the prescribed Price Correction Time Horizon due to </w:t>
      </w:r>
      <w:r w:rsidRPr="00746F54">
        <w:rPr>
          <w:rFonts w:ascii="Arial" w:hAnsi="Arial" w:cs="Arial"/>
        </w:rPr>
        <w:lastRenderedPageBreak/>
        <w:t>processing and publication issues then the CAISO shall provide notice to market participants through OASIS about the delay of the processing and publication of corrected prices.</w:t>
      </w:r>
    </w:p>
    <w:p w14:paraId="654E3968" w14:textId="77777777" w:rsidR="003434D5" w:rsidRPr="00746F54" w:rsidRDefault="003434D5" w:rsidP="00BE1E79">
      <w:pPr>
        <w:pStyle w:val="Heading3"/>
        <w:rPr>
          <w:rFonts w:ascii="Arial" w:hAnsi="Arial" w:cs="Arial"/>
        </w:rPr>
      </w:pPr>
      <w:bookmarkStart w:id="277" w:name="_Toc211337999"/>
      <w:r w:rsidRPr="00746F54">
        <w:rPr>
          <w:rFonts w:ascii="Arial" w:hAnsi="Arial" w:cs="Arial"/>
        </w:rPr>
        <w:t>EDAM Price Correction Time Horizon</w:t>
      </w:r>
      <w:bookmarkEnd w:id="277"/>
    </w:p>
    <w:p w14:paraId="04FD41C5" w14:textId="1CBBFB72" w:rsidR="003434D5" w:rsidRPr="00746F54" w:rsidRDefault="003434D5" w:rsidP="003434D5">
      <w:pPr>
        <w:pStyle w:val="BPM"/>
        <w:jc w:val="both"/>
        <w:rPr>
          <w:rFonts w:ascii="Arial" w:hAnsi="Arial"/>
        </w:rPr>
      </w:pPr>
      <w:r w:rsidRPr="00746F54">
        <w:rPr>
          <w:rFonts w:ascii="Arial" w:hAnsi="Arial"/>
        </w:rPr>
        <w:t xml:space="preserve">The EDAM Price Correction Time Horizon is three business days, except as noted below.  The CAISO will inform the market through an OASIS message about price corrections as soon as practical within the proposed three business day window for the EDAM. If such notice is not published on OASIS before the end of the Price Correction Time Horizon for a trading day, then such notice is implied by the expiration of the Price Correction Time Horizon, and no further validation or price corrections will occur for the trading day. The CAISO will not make any price corrections after the Price Correction Time Horizon has expired except as otherwise directed by the Federal Energy Regulatory Commission.   </w:t>
      </w:r>
    </w:p>
    <w:p w14:paraId="02D0E721" w14:textId="7238604D" w:rsidR="003434D5" w:rsidRPr="00746F54" w:rsidRDefault="003434D5" w:rsidP="003434D5">
      <w:pPr>
        <w:pStyle w:val="BPM"/>
        <w:jc w:val="both"/>
        <w:rPr>
          <w:rFonts w:ascii="Arial" w:hAnsi="Arial"/>
        </w:rPr>
      </w:pPr>
      <w:r w:rsidRPr="00746F54">
        <w:rPr>
          <w:rFonts w:ascii="Arial" w:hAnsi="Arial"/>
        </w:rPr>
        <w:t xml:space="preserve">For a period not to exceed 180 days after an EDAM entity implementation date, the time allowed for the CAISO’s correction of EDAM prices will be extended to 10 business days. </w:t>
      </w:r>
    </w:p>
    <w:p w14:paraId="233F982F" w14:textId="03A1FC3D" w:rsidR="003434D5" w:rsidRPr="00746F54" w:rsidRDefault="003434D5" w:rsidP="003434D5">
      <w:pPr>
        <w:pStyle w:val="BPM"/>
        <w:jc w:val="both"/>
        <w:rPr>
          <w:rFonts w:ascii="Arial" w:hAnsi="Arial"/>
        </w:rPr>
      </w:pPr>
      <w:proofErr w:type="gramStart"/>
      <w:r w:rsidRPr="00746F54">
        <w:rPr>
          <w:rFonts w:ascii="Arial" w:hAnsi="Arial"/>
        </w:rPr>
        <w:t>In the event that</w:t>
      </w:r>
      <w:proofErr w:type="gramEnd"/>
      <w:r w:rsidRPr="00746F54">
        <w:rPr>
          <w:rFonts w:ascii="Arial" w:hAnsi="Arial"/>
        </w:rPr>
        <w:t xml:space="preserve"> the CAISO experiences a processing or publication issue which renders the prices posted on OASIS or CMRI inconsistent with any price that was subject to a price correction, the ISO shall endeavor to correct such publication as soon as practicable.  Twenty business days after the applicable trading day, the CAISO will not correct such processing or publication errors except as otherwise directed by the Federal Energy Regulatory Commission.  After 20 business days, if there is still a discrepancy between the published prices on OASIS or CMRI and the prices used for settlements, in the event of a valid settlement dispute the CAISO will adjust the settlement prices to reflect the prices posted on OASIS for the applicable intervals.</w:t>
      </w:r>
    </w:p>
    <w:p w14:paraId="59BE0995" w14:textId="77777777" w:rsidR="003434D5" w:rsidRPr="00746F54" w:rsidRDefault="003434D5" w:rsidP="00BE1E79">
      <w:pPr>
        <w:pStyle w:val="Heading3"/>
        <w:rPr>
          <w:rFonts w:ascii="Arial" w:hAnsi="Arial" w:cs="Arial"/>
        </w:rPr>
      </w:pPr>
      <w:bookmarkStart w:id="278" w:name="_Toc211338000"/>
      <w:r w:rsidRPr="00746F54">
        <w:rPr>
          <w:rFonts w:ascii="Arial" w:hAnsi="Arial" w:cs="Arial"/>
        </w:rPr>
        <w:t>Price Correction Reporting</w:t>
      </w:r>
      <w:bookmarkEnd w:id="278"/>
      <w:r w:rsidRPr="00746F54">
        <w:rPr>
          <w:rFonts w:ascii="Arial" w:hAnsi="Arial" w:cs="Arial"/>
        </w:rPr>
        <w:t xml:space="preserve"> </w:t>
      </w:r>
    </w:p>
    <w:p w14:paraId="6A82870C" w14:textId="77777777" w:rsidR="003434D5" w:rsidRPr="00746F54" w:rsidRDefault="003434D5" w:rsidP="003434D5">
      <w:pPr>
        <w:pStyle w:val="ParaText"/>
        <w:rPr>
          <w:rFonts w:ascii="Arial" w:hAnsi="Arial" w:cs="Arial"/>
        </w:rPr>
      </w:pPr>
      <w:r w:rsidRPr="00746F54">
        <w:rPr>
          <w:rFonts w:ascii="Arial" w:hAnsi="Arial" w:cs="Arial"/>
        </w:rPr>
        <w:t>The CAISO will summarize all price corrections in a report and publish the report on OASIS.  For each instance of market price correction, the weekly report shall contain:</w:t>
      </w:r>
    </w:p>
    <w:p w14:paraId="2C83C31C" w14:textId="77777777" w:rsidR="003434D5" w:rsidRPr="00746F54" w:rsidRDefault="003434D5" w:rsidP="003434D5">
      <w:pPr>
        <w:pStyle w:val="ParaText"/>
        <w:numPr>
          <w:ilvl w:val="0"/>
          <w:numId w:val="81"/>
        </w:numPr>
        <w:rPr>
          <w:rFonts w:ascii="Arial" w:hAnsi="Arial" w:cs="Arial"/>
        </w:rPr>
      </w:pPr>
      <w:r w:rsidRPr="00746F54">
        <w:rPr>
          <w:rFonts w:ascii="Arial" w:hAnsi="Arial" w:cs="Arial"/>
        </w:rPr>
        <w:t>Brief description of the root cause of market invalidation</w:t>
      </w:r>
    </w:p>
    <w:p w14:paraId="55E0C44A" w14:textId="77777777" w:rsidR="003434D5" w:rsidRPr="00746F54" w:rsidRDefault="003434D5" w:rsidP="003434D5">
      <w:pPr>
        <w:pStyle w:val="ParaText"/>
        <w:numPr>
          <w:ilvl w:val="0"/>
          <w:numId w:val="81"/>
        </w:numPr>
        <w:rPr>
          <w:rFonts w:ascii="Arial" w:hAnsi="Arial" w:cs="Arial"/>
        </w:rPr>
      </w:pPr>
      <w:r w:rsidRPr="00746F54">
        <w:rPr>
          <w:rFonts w:ascii="Arial" w:hAnsi="Arial" w:cs="Arial"/>
        </w:rPr>
        <w:t xml:space="preserve">Affected market intervals </w:t>
      </w:r>
    </w:p>
    <w:p w14:paraId="2AD730C9" w14:textId="77777777" w:rsidR="003434D5" w:rsidRPr="00746F54" w:rsidRDefault="003434D5" w:rsidP="003434D5">
      <w:pPr>
        <w:pStyle w:val="ParaText"/>
        <w:numPr>
          <w:ilvl w:val="0"/>
          <w:numId w:val="81"/>
        </w:numPr>
        <w:rPr>
          <w:rFonts w:ascii="Arial" w:hAnsi="Arial" w:cs="Arial"/>
        </w:rPr>
      </w:pPr>
      <w:r w:rsidRPr="00746F54">
        <w:rPr>
          <w:rFonts w:ascii="Arial" w:hAnsi="Arial" w:cs="Arial"/>
        </w:rPr>
        <w:t xml:space="preserve">Affected price locations </w:t>
      </w:r>
    </w:p>
    <w:p w14:paraId="1C776A0F" w14:textId="77777777" w:rsidR="003434D5" w:rsidRPr="00746F54" w:rsidRDefault="003434D5" w:rsidP="003434D5">
      <w:pPr>
        <w:pStyle w:val="ParaText"/>
        <w:numPr>
          <w:ilvl w:val="0"/>
          <w:numId w:val="81"/>
        </w:numPr>
        <w:rPr>
          <w:rFonts w:ascii="Arial" w:hAnsi="Arial" w:cs="Arial"/>
        </w:rPr>
      </w:pPr>
      <w:r w:rsidRPr="00746F54">
        <w:rPr>
          <w:rFonts w:ascii="Arial" w:hAnsi="Arial" w:cs="Arial"/>
        </w:rPr>
        <w:t>Method of Price Corrective action(s) taken</w:t>
      </w:r>
    </w:p>
    <w:p w14:paraId="2C2C8F87" w14:textId="77777777" w:rsidR="003434D5" w:rsidRPr="00746F54" w:rsidRDefault="003434D5" w:rsidP="00BE1E79">
      <w:pPr>
        <w:pStyle w:val="Heading2"/>
        <w:rPr>
          <w:rFonts w:ascii="Arial" w:hAnsi="Arial" w:cs="Arial"/>
        </w:rPr>
      </w:pPr>
      <w:bookmarkStart w:id="279" w:name="_Toc228963751"/>
      <w:r w:rsidRPr="00746F54">
        <w:rPr>
          <w:rFonts w:ascii="Arial" w:hAnsi="Arial" w:cs="Arial"/>
        </w:rPr>
        <w:lastRenderedPageBreak/>
        <w:t>Administrative Pricing for EDAM Disruption</w:t>
      </w:r>
      <w:bookmarkEnd w:id="279"/>
    </w:p>
    <w:p w14:paraId="448AEBDC" w14:textId="77777777" w:rsidR="003434D5" w:rsidRPr="00746F54" w:rsidRDefault="003434D5" w:rsidP="003434D5">
      <w:pPr>
        <w:jc w:val="both"/>
        <w:rPr>
          <w:rFonts w:ascii="Arial" w:hAnsi="Arial" w:cs="Arial"/>
        </w:rPr>
      </w:pPr>
      <w:r w:rsidRPr="00746F54">
        <w:rPr>
          <w:rFonts w:ascii="Arial" w:hAnsi="Arial" w:cs="Arial"/>
        </w:rPr>
        <w:t>If the CAISO declares a disruption of EDAM Entity participation in the Day-Ahead Market, the market results for that EDAM Entity will reflect:</w:t>
      </w:r>
    </w:p>
    <w:p w14:paraId="20872B25" w14:textId="77777777" w:rsidR="003434D5" w:rsidRPr="00746F54" w:rsidRDefault="003434D5" w:rsidP="003434D5">
      <w:pPr>
        <w:pStyle w:val="ListParagraph"/>
        <w:numPr>
          <w:ilvl w:val="0"/>
          <w:numId w:val="124"/>
        </w:numPr>
        <w:spacing w:line="278" w:lineRule="auto"/>
        <w:contextualSpacing/>
        <w:jc w:val="both"/>
        <w:rPr>
          <w:rFonts w:ascii="Arial" w:hAnsi="Arial" w:cs="Arial"/>
        </w:rPr>
      </w:pPr>
      <w:r w:rsidRPr="00746F54">
        <w:rPr>
          <w:rFonts w:ascii="Arial" w:hAnsi="Arial" w:cs="Arial"/>
        </w:rPr>
        <w:t>Administrative prices to the Energy schedules for resources scheduled and awarded in the EDAM market run for the impacted EDAM Entity.  Energy schedules will be determined by the EDAM run results and based on the bids and schedules submitted by the EDAM Entity.</w:t>
      </w:r>
    </w:p>
    <w:p w14:paraId="7C8EE435" w14:textId="77777777" w:rsidR="003434D5" w:rsidRPr="00746F54" w:rsidRDefault="003434D5" w:rsidP="003434D5">
      <w:pPr>
        <w:pStyle w:val="ListParagraph"/>
        <w:numPr>
          <w:ilvl w:val="0"/>
          <w:numId w:val="124"/>
        </w:numPr>
        <w:spacing w:line="278" w:lineRule="auto"/>
        <w:contextualSpacing/>
        <w:jc w:val="both"/>
        <w:rPr>
          <w:rFonts w:ascii="Arial" w:hAnsi="Arial" w:cs="Arial"/>
        </w:rPr>
      </w:pPr>
      <w:r w:rsidRPr="00746F54">
        <w:rPr>
          <w:rFonts w:ascii="Arial" w:hAnsi="Arial" w:cs="Arial"/>
        </w:rPr>
        <w:t>$0 prices for Imbalance Reserves and Reliability Capacity.</w:t>
      </w:r>
    </w:p>
    <w:p w14:paraId="10D5C72F" w14:textId="77777777" w:rsidR="003434D5" w:rsidRPr="00746F54" w:rsidRDefault="003434D5" w:rsidP="003434D5">
      <w:pPr>
        <w:pStyle w:val="ListParagraph"/>
        <w:spacing w:line="278" w:lineRule="auto"/>
        <w:contextualSpacing/>
        <w:jc w:val="both"/>
        <w:rPr>
          <w:rFonts w:ascii="Arial" w:hAnsi="Arial" w:cs="Arial"/>
        </w:rPr>
      </w:pPr>
    </w:p>
    <w:p w14:paraId="74470859" w14:textId="77777777" w:rsidR="003434D5" w:rsidRPr="00746F54" w:rsidRDefault="003434D5" w:rsidP="003434D5">
      <w:pPr>
        <w:jc w:val="both"/>
        <w:rPr>
          <w:rFonts w:ascii="Arial" w:hAnsi="Arial" w:cs="Arial"/>
        </w:rPr>
      </w:pPr>
      <w:r w:rsidRPr="00746F54">
        <w:rPr>
          <w:rFonts w:ascii="Arial" w:hAnsi="Arial" w:cs="Arial"/>
        </w:rPr>
        <w:t>The EDAM Entity will be responsible for submitting their Open Access Transmission Tariff prices for administrative prices through the CIDI system.  If Open Access Transmission Tariff prices are not available for the EDAM Entity, the prices from the previous Day-Ahead Market trade date will be used for administrative prices for hourly Energy schedules.</w:t>
      </w:r>
    </w:p>
    <w:p w14:paraId="638F52E0" w14:textId="673ACAEB" w:rsidR="003434D5" w:rsidRPr="00746F54" w:rsidRDefault="003434D5" w:rsidP="003434D5">
      <w:pPr>
        <w:jc w:val="both"/>
        <w:rPr>
          <w:rFonts w:ascii="Arial" w:hAnsi="Arial" w:cs="Arial"/>
        </w:rPr>
      </w:pPr>
      <w:r w:rsidRPr="00746F54">
        <w:rPr>
          <w:rFonts w:ascii="Arial" w:hAnsi="Arial" w:cs="Arial"/>
        </w:rPr>
        <w:t>If an EDAM Entity experiences a disruption in the Real-Time Market, the administrative pricing rules in the BPM for Market Operations will apply.</w:t>
      </w:r>
    </w:p>
    <w:p w14:paraId="39143C38" w14:textId="04DDE08E" w:rsidR="00F01E0C" w:rsidRPr="00746F54" w:rsidRDefault="00F01E0C" w:rsidP="00BE1E79">
      <w:pPr>
        <w:pStyle w:val="Heading1"/>
        <w:rPr>
          <w:rFonts w:ascii="Arial" w:hAnsi="Arial" w:cs="Arial"/>
        </w:rPr>
      </w:pPr>
      <w:bookmarkStart w:id="280" w:name="_Toc211338002"/>
      <w:bookmarkStart w:id="281" w:name="_Toc228963752"/>
      <w:r w:rsidRPr="00746F54">
        <w:rPr>
          <w:rFonts w:ascii="Arial" w:hAnsi="Arial" w:cs="Arial"/>
        </w:rPr>
        <w:t>Congestion Revenue Rights</w:t>
      </w:r>
      <w:bookmarkEnd w:id="280"/>
      <w:bookmarkEnd w:id="281"/>
      <w:r w:rsidRPr="00746F54">
        <w:rPr>
          <w:rFonts w:ascii="Arial" w:hAnsi="Arial" w:cs="Arial"/>
        </w:rPr>
        <w:t xml:space="preserve"> </w:t>
      </w:r>
    </w:p>
    <w:p w14:paraId="5856F6DA" w14:textId="77777777" w:rsidR="00F01E0C" w:rsidRPr="00746F54" w:rsidRDefault="00F01E0C" w:rsidP="00F01E0C">
      <w:pPr>
        <w:pStyle w:val="ParaText"/>
        <w:rPr>
          <w:rFonts w:ascii="Arial" w:hAnsi="Arial" w:cs="Arial"/>
        </w:rPr>
      </w:pPr>
      <w:r w:rsidRPr="00746F54">
        <w:rPr>
          <w:rFonts w:ascii="Arial" w:hAnsi="Arial" w:cs="Arial"/>
          <w:u w:val="single"/>
        </w:rPr>
        <w:t>Reference Section 33.36</w:t>
      </w:r>
    </w:p>
    <w:p w14:paraId="0F4985B4" w14:textId="6740271C" w:rsidR="00F01E0C" w:rsidRPr="00746F54" w:rsidRDefault="00F01E0C" w:rsidP="00F01E0C">
      <w:pPr>
        <w:pStyle w:val="ParaText"/>
        <w:rPr>
          <w:rFonts w:ascii="Arial" w:hAnsi="Arial" w:cs="Arial"/>
        </w:rPr>
      </w:pPr>
      <w:r w:rsidRPr="00746F54">
        <w:rPr>
          <w:rFonts w:ascii="Arial" w:hAnsi="Arial" w:cs="Arial"/>
        </w:rPr>
        <w:t xml:space="preserve">Congestion Revenue Rights (CRR) are not offered as part of the EDAM across participating balancing authority areas, and the provisions of Section 36 will not apply to EDAM Market Participants.  CRRs continue to be offered within the CAISO balancing authority area as described in section 36 of the ISO tariff.  </w:t>
      </w:r>
    </w:p>
    <w:p w14:paraId="4D65DB8A" w14:textId="27C5FCBC" w:rsidR="00F01E0C" w:rsidRPr="00746F54" w:rsidRDefault="00F01E0C" w:rsidP="00F01E0C">
      <w:pPr>
        <w:pStyle w:val="ParaText"/>
        <w:rPr>
          <w:rFonts w:ascii="Arial" w:hAnsi="Arial" w:cs="Arial"/>
        </w:rPr>
      </w:pPr>
      <w:r w:rsidRPr="00746F54">
        <w:rPr>
          <w:rFonts w:ascii="Arial" w:hAnsi="Arial" w:cs="Arial"/>
        </w:rPr>
        <w:t xml:space="preserve">The EDAM </w:t>
      </w:r>
      <w:r w:rsidR="00D00016" w:rsidRPr="00746F54">
        <w:rPr>
          <w:rFonts w:ascii="Arial" w:hAnsi="Arial" w:cs="Arial"/>
        </w:rPr>
        <w:t xml:space="preserve">establishes how congestion and transfer revenues, resulting from congestion across the market footprint are allocated.  For additional information on the allocation of these revenues, please refer to the </w:t>
      </w:r>
      <w:r w:rsidR="00D00016" w:rsidRPr="00746F54">
        <w:rPr>
          <w:rFonts w:ascii="Arial" w:hAnsi="Arial" w:cs="Arial"/>
          <w:i/>
          <w:iCs/>
        </w:rPr>
        <w:t>Settlements and Billing</w:t>
      </w:r>
      <w:r w:rsidR="00D00016" w:rsidRPr="00746F54">
        <w:rPr>
          <w:rFonts w:ascii="Arial" w:hAnsi="Arial" w:cs="Arial"/>
        </w:rPr>
        <w:t xml:space="preserve"> Business Practice Manual.</w:t>
      </w:r>
    </w:p>
    <w:p w14:paraId="7253AC66" w14:textId="77777777" w:rsidR="00513E31" w:rsidRPr="00746F54" w:rsidRDefault="00513E31" w:rsidP="00BE1E79">
      <w:pPr>
        <w:pStyle w:val="Heading1"/>
        <w:rPr>
          <w:rFonts w:ascii="Arial" w:hAnsi="Arial" w:cs="Arial"/>
        </w:rPr>
      </w:pPr>
      <w:bookmarkStart w:id="282" w:name="_Toc228963753"/>
      <w:r w:rsidRPr="00746F54">
        <w:rPr>
          <w:rFonts w:ascii="Arial" w:hAnsi="Arial" w:cs="Arial"/>
        </w:rPr>
        <w:t>Rules of Conduct</w:t>
      </w:r>
      <w:bookmarkEnd w:id="282"/>
    </w:p>
    <w:p w14:paraId="0F09BA3F" w14:textId="208FD149" w:rsidR="00513E31" w:rsidRPr="00746F54" w:rsidRDefault="00513E31" w:rsidP="00513E31">
      <w:pPr>
        <w:pStyle w:val="ParaText"/>
        <w:rPr>
          <w:rFonts w:ascii="Arial" w:hAnsi="Arial" w:cs="Arial"/>
          <w:u w:val="single"/>
        </w:rPr>
      </w:pPr>
      <w:r w:rsidRPr="00746F54">
        <w:rPr>
          <w:rFonts w:ascii="Arial" w:hAnsi="Arial" w:cs="Arial"/>
          <w:u w:val="single"/>
        </w:rPr>
        <w:t>Reference tariff sections 33.37 and 37</w:t>
      </w:r>
    </w:p>
    <w:p w14:paraId="033AB9AA" w14:textId="7C79C4B5" w:rsidR="00513E31" w:rsidRPr="00746F54" w:rsidRDefault="00513E31" w:rsidP="00513E31">
      <w:pPr>
        <w:pStyle w:val="ParaText"/>
        <w:rPr>
          <w:rFonts w:ascii="Arial" w:hAnsi="Arial" w:cs="Arial"/>
        </w:rPr>
      </w:pPr>
      <w:r w:rsidRPr="00746F54">
        <w:rPr>
          <w:rFonts w:ascii="Arial" w:hAnsi="Arial" w:cs="Arial"/>
        </w:rPr>
        <w:t xml:space="preserve">Rules of </w:t>
      </w:r>
      <w:r w:rsidR="00BB2601" w:rsidRPr="00746F54">
        <w:rPr>
          <w:rFonts w:ascii="Arial" w:hAnsi="Arial" w:cs="Arial"/>
        </w:rPr>
        <w:t>C</w:t>
      </w:r>
      <w:r w:rsidRPr="00746F54">
        <w:rPr>
          <w:rFonts w:ascii="Arial" w:hAnsi="Arial" w:cs="Arial"/>
        </w:rPr>
        <w:t>onduct</w:t>
      </w:r>
      <w:r w:rsidR="00BB2601" w:rsidRPr="00746F54">
        <w:rPr>
          <w:rFonts w:ascii="Arial" w:hAnsi="Arial" w:cs="Arial"/>
        </w:rPr>
        <w:t>, governed by section 37 of the ISO tariff,</w:t>
      </w:r>
      <w:r w:rsidRPr="00746F54">
        <w:rPr>
          <w:rFonts w:ascii="Arial" w:hAnsi="Arial" w:cs="Arial"/>
        </w:rPr>
        <w:t xml:space="preserve"> </w:t>
      </w:r>
      <w:r w:rsidR="00BB2601" w:rsidRPr="00746F54">
        <w:rPr>
          <w:rFonts w:ascii="Arial" w:hAnsi="Arial" w:cs="Arial"/>
        </w:rPr>
        <w:t xml:space="preserve">are intended to provide fair notice to Market Participants of the conduct expected of them, to provide an environment in which all parties may participate on a fair and equal basis, to redress instances of market manipulation and other instances of anticompetitive behavior, and thereby to foster confidence of Market Participants, ratepayers and the general public in the proper functioning of the CAISO markets. </w:t>
      </w:r>
      <w:r w:rsidRPr="00746F54">
        <w:rPr>
          <w:rFonts w:ascii="Arial" w:hAnsi="Arial" w:cs="Arial"/>
        </w:rPr>
        <w:lastRenderedPageBreak/>
        <w:t>All EDAM Market Participants will be subject to the provisions of Section 37 except for Section 37.2 and Section 37.4 to the extent it applies to Maintenance Outages.</w:t>
      </w:r>
    </w:p>
    <w:p w14:paraId="21E3C3F6" w14:textId="2B36E879" w:rsidR="00BB2601" w:rsidRPr="00746F54" w:rsidRDefault="00BB2601" w:rsidP="00513E31">
      <w:pPr>
        <w:pStyle w:val="ParaText"/>
        <w:rPr>
          <w:rFonts w:ascii="Arial" w:hAnsi="Arial" w:cs="Arial"/>
        </w:rPr>
      </w:pPr>
      <w:r w:rsidRPr="00746F54">
        <w:rPr>
          <w:rFonts w:ascii="Arial" w:hAnsi="Arial" w:cs="Arial"/>
        </w:rPr>
        <w:t xml:space="preserve">For additional information on the Rules of Conduct, please refer to the </w:t>
      </w:r>
      <w:r w:rsidRPr="00746F54">
        <w:rPr>
          <w:rFonts w:ascii="Arial" w:hAnsi="Arial" w:cs="Arial"/>
          <w:i/>
          <w:iCs/>
        </w:rPr>
        <w:t xml:space="preserve">Rules of Conduct </w:t>
      </w:r>
      <w:r w:rsidR="00391F62" w:rsidRPr="00746F54">
        <w:rPr>
          <w:rFonts w:ascii="Arial" w:hAnsi="Arial" w:cs="Arial"/>
        </w:rPr>
        <w:t>Business Practice Manual.</w:t>
      </w:r>
    </w:p>
    <w:p w14:paraId="777A103E" w14:textId="752DFBFB" w:rsidR="00A311E4" w:rsidRPr="00746F54" w:rsidRDefault="00A311E4" w:rsidP="00BE1E79">
      <w:pPr>
        <w:pStyle w:val="Heading1"/>
        <w:rPr>
          <w:rFonts w:ascii="Arial" w:hAnsi="Arial" w:cs="Arial"/>
        </w:rPr>
      </w:pPr>
      <w:bookmarkStart w:id="283" w:name="_Toc211338004"/>
      <w:bookmarkStart w:id="284" w:name="_Toc228963754"/>
      <w:r w:rsidRPr="00746F54">
        <w:rPr>
          <w:rFonts w:ascii="Arial" w:hAnsi="Arial" w:cs="Arial"/>
        </w:rPr>
        <w:t>Market Monitoring in EDAM</w:t>
      </w:r>
      <w:bookmarkEnd w:id="283"/>
      <w:bookmarkEnd w:id="284"/>
    </w:p>
    <w:p w14:paraId="0D31EC6C" w14:textId="267F596F" w:rsidR="00A311E4" w:rsidRPr="00746F54" w:rsidRDefault="00A311E4" w:rsidP="00A311E4">
      <w:pPr>
        <w:pStyle w:val="ParaText"/>
        <w:rPr>
          <w:rFonts w:ascii="Arial" w:hAnsi="Arial" w:cs="Arial"/>
          <w:u w:val="single"/>
        </w:rPr>
      </w:pPr>
      <w:r w:rsidRPr="00746F54">
        <w:rPr>
          <w:rFonts w:ascii="Arial" w:hAnsi="Arial" w:cs="Arial"/>
          <w:u w:val="single"/>
        </w:rPr>
        <w:t>Reference tariff section 33.38</w:t>
      </w:r>
      <w:r w:rsidR="008F1F50" w:rsidRPr="00746F54">
        <w:rPr>
          <w:rFonts w:ascii="Arial" w:hAnsi="Arial" w:cs="Arial"/>
          <w:u w:val="single"/>
        </w:rPr>
        <w:t xml:space="preserve"> and Appendix P</w:t>
      </w:r>
    </w:p>
    <w:p w14:paraId="3D15C030" w14:textId="70647B53" w:rsidR="00A311E4" w:rsidRPr="00746F54" w:rsidRDefault="008F1F50" w:rsidP="00A311E4">
      <w:pPr>
        <w:pStyle w:val="ParaText"/>
        <w:rPr>
          <w:rFonts w:ascii="Arial" w:hAnsi="Arial" w:cs="Arial"/>
        </w:rPr>
      </w:pPr>
      <w:r w:rsidRPr="00746F54">
        <w:rPr>
          <w:rFonts w:ascii="Arial" w:hAnsi="Arial" w:cs="Arial"/>
        </w:rPr>
        <w:t>The CAISO Department of Market Monitoring (DMM) is the market monitor for EDAM and holds the same duties toward EDAM as it holds under Appendix P, section 5, toward the other CAISO markets.  Any referral to FERC of a potential market violation or market design flaw will be made under Appendix P procedures.  For additional information on market monitoring</w:t>
      </w:r>
      <w:r w:rsidR="002D57A4" w:rsidRPr="00746F54">
        <w:rPr>
          <w:rFonts w:ascii="Arial" w:hAnsi="Arial" w:cs="Arial"/>
        </w:rPr>
        <w:t xml:space="preserve"> please</w:t>
      </w:r>
      <w:r w:rsidRPr="00746F54">
        <w:rPr>
          <w:rFonts w:ascii="Arial" w:hAnsi="Arial" w:cs="Arial"/>
        </w:rPr>
        <w:t xml:space="preserve"> refer to Appendix P of the ISO tariff.  </w:t>
      </w:r>
    </w:p>
    <w:p w14:paraId="33CDFDDD" w14:textId="77777777" w:rsidR="00EB33B7" w:rsidRPr="00746F54" w:rsidRDefault="00EB33B7" w:rsidP="00BE1E79">
      <w:pPr>
        <w:pStyle w:val="Heading1"/>
        <w:rPr>
          <w:rFonts w:ascii="Arial" w:hAnsi="Arial" w:cs="Arial"/>
        </w:rPr>
      </w:pPr>
      <w:bookmarkStart w:id="285" w:name="_Toc211338005"/>
      <w:bookmarkStart w:id="286" w:name="_Toc228963755"/>
      <w:r w:rsidRPr="00746F54">
        <w:rPr>
          <w:rFonts w:ascii="Arial" w:hAnsi="Arial" w:cs="Arial"/>
        </w:rPr>
        <w:t>Flexible Ramping Product</w:t>
      </w:r>
      <w:bookmarkEnd w:id="285"/>
      <w:bookmarkEnd w:id="286"/>
      <w:r w:rsidRPr="00746F54">
        <w:rPr>
          <w:rFonts w:ascii="Arial" w:hAnsi="Arial" w:cs="Arial"/>
        </w:rPr>
        <w:t xml:space="preserve"> </w:t>
      </w:r>
    </w:p>
    <w:p w14:paraId="0090D870" w14:textId="77777777" w:rsidR="00EB33B7" w:rsidRPr="00746F54" w:rsidRDefault="00EB33B7" w:rsidP="00EB33B7">
      <w:pPr>
        <w:pStyle w:val="ParaText"/>
        <w:rPr>
          <w:rFonts w:ascii="Arial" w:hAnsi="Arial" w:cs="Arial"/>
        </w:rPr>
      </w:pPr>
      <w:r w:rsidRPr="00746F54">
        <w:rPr>
          <w:rFonts w:ascii="Arial" w:hAnsi="Arial" w:cs="Arial"/>
        </w:rPr>
        <w:t xml:space="preserve">The Flexible Ramping Product (FRP) is a market-based product in the real-time market to address the operational challenges of maintaining power balance in the real-time dispatch.  For EDAM balancing areas, as is the case in the WEIM today, the market </w:t>
      </w:r>
      <w:r w:rsidRPr="00746F54" w:rsidDel="004F3EE2">
        <w:rPr>
          <w:rFonts w:ascii="Arial" w:hAnsi="Arial" w:cs="Arial"/>
        </w:rPr>
        <w:t xml:space="preserve">operator </w:t>
      </w:r>
      <w:r w:rsidRPr="00746F54">
        <w:rPr>
          <w:rFonts w:ascii="Arial" w:hAnsi="Arial" w:cs="Arial"/>
        </w:rPr>
        <w:t xml:space="preserve">may enforce flexible ramping constraints and procure the flexible ramping product to meet forecasted movement and uncertainty requirements in an EDAM balancing area in accordance with section 33.44 and section 44 of the ISO Tariff.  </w:t>
      </w:r>
    </w:p>
    <w:p w14:paraId="49A7E163" w14:textId="6D591B02" w:rsidR="00382E42" w:rsidRPr="00746F54" w:rsidRDefault="00EB33B7" w:rsidP="00382E42">
      <w:pPr>
        <w:pStyle w:val="Bullet1"/>
        <w:numPr>
          <w:ilvl w:val="0"/>
          <w:numId w:val="0"/>
        </w:numPr>
        <w:rPr>
          <w:rFonts w:ascii="Arial" w:hAnsi="Arial" w:cs="Arial"/>
        </w:rPr>
      </w:pPr>
      <w:r w:rsidRPr="00746F54">
        <w:rPr>
          <w:rFonts w:ascii="Arial" w:hAnsi="Arial" w:cs="Arial"/>
        </w:rPr>
        <w:t xml:space="preserve">FRP procurement processes and procedures are further described in the </w:t>
      </w:r>
      <w:r w:rsidRPr="00746F54">
        <w:rPr>
          <w:rFonts w:ascii="Arial" w:hAnsi="Arial" w:cs="Arial"/>
          <w:i/>
          <w:iCs/>
        </w:rPr>
        <w:t>Market Operations</w:t>
      </w:r>
      <w:r w:rsidRPr="00746F54">
        <w:rPr>
          <w:rFonts w:ascii="Arial" w:hAnsi="Arial" w:cs="Arial"/>
        </w:rPr>
        <w:t xml:space="preserve"> Business Practice Manual.  </w:t>
      </w:r>
    </w:p>
    <w:p w14:paraId="6F0DC6DE" w14:textId="77777777" w:rsidR="00382E42" w:rsidRPr="00746F54" w:rsidRDefault="00382E42" w:rsidP="00636D40">
      <w:pPr>
        <w:spacing w:after="0" w:line="240" w:lineRule="auto"/>
        <w:ind w:left="720"/>
        <w:rPr>
          <w:rFonts w:ascii="Arial" w:eastAsia="Times New Roman" w:hAnsi="Arial" w:cs="Arial"/>
        </w:rPr>
      </w:pPr>
      <w:bookmarkStart w:id="287" w:name="_Toc209781054"/>
      <w:bookmarkEnd w:id="287"/>
    </w:p>
    <w:p w14:paraId="477B1A53" w14:textId="2344A877" w:rsidR="00EC79C0" w:rsidRPr="00746F54" w:rsidRDefault="00EC79C0">
      <w:pPr>
        <w:rPr>
          <w:rFonts w:ascii="Arial" w:hAnsi="Arial" w:cs="Arial"/>
        </w:rPr>
      </w:pPr>
      <w:r w:rsidRPr="00746F54">
        <w:rPr>
          <w:rFonts w:ascii="Arial" w:hAnsi="Arial" w:cs="Arial"/>
        </w:rPr>
        <w:br w:type="page"/>
      </w:r>
    </w:p>
    <w:p w14:paraId="2C118391" w14:textId="3078ED22" w:rsidR="00C5363F" w:rsidRPr="00C5363F" w:rsidRDefault="00E0313E" w:rsidP="00C5363F">
      <w:pPr>
        <w:pStyle w:val="Heading1"/>
        <w:numPr>
          <w:ilvl w:val="0"/>
          <w:numId w:val="151"/>
        </w:numPr>
        <w:rPr>
          <w:rFonts w:ascii="Arial" w:hAnsi="Arial" w:cs="Arial"/>
          <w:szCs w:val="34"/>
        </w:rPr>
      </w:pPr>
      <w:bookmarkStart w:id="288" w:name="_Toc228963756"/>
      <w:r>
        <w:rPr>
          <w:rFonts w:ascii="Arial" w:hAnsi="Arial" w:cs="Arial"/>
          <w:bCs/>
          <w:szCs w:val="34"/>
        </w:rPr>
        <w:lastRenderedPageBreak/>
        <w:t xml:space="preserve">Appendix 1: </w:t>
      </w:r>
      <w:r w:rsidR="00C5363F" w:rsidRPr="00C5363F">
        <w:rPr>
          <w:rFonts w:ascii="Arial" w:hAnsi="Arial" w:cs="Arial"/>
          <w:bCs/>
          <w:szCs w:val="34"/>
        </w:rPr>
        <w:t>CISO BAA Supplement to the EDAM Business Practice Manual</w:t>
      </w:r>
      <w:bookmarkEnd w:id="288"/>
    </w:p>
    <w:p w14:paraId="5D951352" w14:textId="77777777" w:rsidR="00C5363F" w:rsidRDefault="00C5363F" w:rsidP="00C5363F">
      <w:pPr>
        <w:spacing w:after="0" w:line="276" w:lineRule="auto"/>
        <w:rPr>
          <w:rFonts w:ascii="Arial" w:hAnsi="Arial" w:cs="Arial"/>
          <w:u w:val="single"/>
        </w:rPr>
      </w:pPr>
      <w:r w:rsidRPr="00C5363F">
        <w:rPr>
          <w:rFonts w:ascii="Arial" w:hAnsi="Arial" w:cs="Arial"/>
          <w:u w:val="single"/>
        </w:rPr>
        <w:t>Reference Section 33 and Section 27.14 of the ISO Tariff</w:t>
      </w:r>
    </w:p>
    <w:p w14:paraId="675F1010" w14:textId="77777777" w:rsidR="00C5363F" w:rsidRPr="00C5363F" w:rsidRDefault="00C5363F" w:rsidP="00C5363F">
      <w:pPr>
        <w:spacing w:after="0" w:line="276" w:lineRule="auto"/>
        <w:rPr>
          <w:rFonts w:ascii="Arial" w:hAnsi="Arial" w:cs="Arial"/>
          <w:u w:val="single"/>
        </w:rPr>
      </w:pPr>
    </w:p>
    <w:p w14:paraId="3B132108" w14:textId="77777777" w:rsidR="00C5363F" w:rsidRPr="00C5363F" w:rsidRDefault="00C5363F" w:rsidP="00C5363F">
      <w:pPr>
        <w:spacing w:line="276" w:lineRule="auto"/>
        <w:rPr>
          <w:rFonts w:ascii="Arial" w:hAnsi="Arial" w:cs="Arial"/>
        </w:rPr>
      </w:pPr>
      <w:r w:rsidRPr="00C5363F">
        <w:rPr>
          <w:rFonts w:ascii="Arial" w:hAnsi="Arial" w:cs="Arial"/>
        </w:rPr>
        <w:t>Consistent with Section 27 of the ISO Tariff, the ISO Balancing Authority Area (“CISO BAA”) will participate as a balancing authority in the EDAM Area.  The implementation details specific to the CISO BAA’s participation in EDAM are set forth below.  These CISO BAA-specific elements include how to set the EDAM net export transfer constraint and options for curing CISO BAA EDAM advisory RSE shortfalls.</w:t>
      </w:r>
    </w:p>
    <w:p w14:paraId="67E70D7D" w14:textId="77777777" w:rsidR="00C5363F" w:rsidRDefault="00C5363F" w:rsidP="00C5363F">
      <w:pPr>
        <w:spacing w:after="0" w:line="276" w:lineRule="auto"/>
        <w:rPr>
          <w:rFonts w:eastAsia="Calibri"/>
        </w:rPr>
      </w:pPr>
    </w:p>
    <w:p w14:paraId="25FD6F98" w14:textId="77777777" w:rsidR="00C5363F" w:rsidRPr="00F8459E" w:rsidRDefault="00C5363F" w:rsidP="00F22128">
      <w:pPr>
        <w:pStyle w:val="BPM1"/>
      </w:pPr>
      <w:bookmarkStart w:id="289" w:name="_Toc228963757"/>
      <w:r>
        <w:t>Establishing the EDAM Net Export Transfer Constraint for the CISO BAA</w:t>
      </w:r>
      <w:bookmarkEnd w:id="289"/>
    </w:p>
    <w:p w14:paraId="06AEE560" w14:textId="77777777" w:rsidR="00C5363F" w:rsidRDefault="00C5363F" w:rsidP="00C5363F">
      <w:pPr>
        <w:spacing w:after="0" w:line="276" w:lineRule="auto"/>
        <w:ind w:left="720"/>
        <w:rPr>
          <w:rFonts w:ascii="Arial" w:hAnsi="Arial" w:cs="Arial"/>
          <w:u w:val="single"/>
        </w:rPr>
      </w:pPr>
      <w:r w:rsidRPr="00C5363F">
        <w:rPr>
          <w:rFonts w:ascii="Arial" w:hAnsi="Arial" w:cs="Arial"/>
          <w:u w:val="single"/>
        </w:rPr>
        <w:t>Reference ISO Tariff, Section 27.14.3</w:t>
      </w:r>
    </w:p>
    <w:p w14:paraId="00D2ADEA" w14:textId="77777777" w:rsidR="00C5363F" w:rsidRPr="00C5363F" w:rsidRDefault="00C5363F" w:rsidP="00C5363F">
      <w:pPr>
        <w:spacing w:after="0" w:line="276" w:lineRule="auto"/>
        <w:ind w:left="720"/>
        <w:rPr>
          <w:rFonts w:ascii="Arial" w:hAnsi="Arial" w:cs="Arial"/>
          <w:u w:val="single"/>
        </w:rPr>
      </w:pPr>
    </w:p>
    <w:p w14:paraId="7EA24E77" w14:textId="77777777" w:rsidR="00C5363F" w:rsidRPr="00C5363F" w:rsidRDefault="00C5363F" w:rsidP="00C5363F">
      <w:pPr>
        <w:spacing w:line="276" w:lineRule="auto"/>
        <w:ind w:left="720"/>
        <w:rPr>
          <w:rFonts w:ascii="Arial" w:hAnsi="Arial" w:cs="Arial"/>
        </w:rPr>
      </w:pPr>
      <w:r w:rsidRPr="00C5363F">
        <w:rPr>
          <w:rFonts w:ascii="Arial" w:hAnsi="Arial" w:cs="Arial"/>
        </w:rPr>
        <w:t xml:space="preserve">As provided in section 33.31.3 of the ISO Tariff and section 3.1.6 of the Business Practice Manual for the Extended Day Ahead Market, each Balancing Authority Area in the EDAM Area, including the CISO BAA, may configure the constraint to establish the Balancing Authority Area’s hourly limit on the amount of Net EDAM Transfer exports. The net EDAM export transfer constraint is an additional reliability tool offered to all BAAs participating in EDAM and is designed to allow each EDAM BAA to manage the use of supply </w:t>
      </w:r>
      <w:proofErr w:type="gramStart"/>
      <w:r w:rsidRPr="00C5363F">
        <w:rPr>
          <w:rFonts w:ascii="Arial" w:hAnsi="Arial" w:cs="Arial"/>
        </w:rPr>
        <w:t>in excess of</w:t>
      </w:r>
      <w:proofErr w:type="gramEnd"/>
      <w:r w:rsidRPr="00C5363F">
        <w:rPr>
          <w:rFonts w:ascii="Arial" w:hAnsi="Arial" w:cs="Arial"/>
        </w:rPr>
        <w:t xml:space="preserve"> the RSE requirements to respond to potential reliability concerns that may arise between day-ahead and real-time for which no current market products exist. As a BAA participating in EDAM, the CISO BAA works with its stakeholders to establish how it will utilize the feature.  The CISO BAA may elect to enable a configurable EDAM net export transfer constraint that is less than 100% and may do so through utilizing the confidence factor provided for in ISO Tariff Section 27.14.3.1 and the additional reliability margin provided for in ISO Tariff Section 27.14.3.2.</w:t>
      </w:r>
    </w:p>
    <w:p w14:paraId="33A92D15" w14:textId="77777777" w:rsidR="00C5363F" w:rsidRPr="00C5363F" w:rsidRDefault="00C5363F" w:rsidP="00C5363F">
      <w:pPr>
        <w:spacing w:line="276" w:lineRule="auto"/>
        <w:ind w:left="720"/>
        <w:rPr>
          <w:rFonts w:ascii="Arial" w:hAnsi="Arial" w:cs="Arial"/>
        </w:rPr>
      </w:pPr>
      <w:r w:rsidRPr="00C5363F">
        <w:rPr>
          <w:rFonts w:ascii="Arial" w:hAnsi="Arial" w:cs="Arial"/>
        </w:rPr>
        <w:t xml:space="preserve">At EDAM launch, the CISO BAA </w:t>
      </w:r>
      <w:proofErr w:type="gramStart"/>
      <w:r w:rsidRPr="00C5363F">
        <w:rPr>
          <w:rFonts w:ascii="Arial" w:hAnsi="Arial" w:cs="Arial"/>
        </w:rPr>
        <w:t>will, until</w:t>
      </w:r>
      <w:proofErr w:type="gramEnd"/>
      <w:r w:rsidRPr="00C5363F">
        <w:rPr>
          <w:rFonts w:ascii="Arial" w:hAnsi="Arial" w:cs="Arial"/>
        </w:rPr>
        <w:t xml:space="preserve"> otherwise provided, always elect to enable the EDAM net export transfer constraint utilizing a tunable confidence factor and additional reliability margin, configured by hour, as agreed with its stakeholders.  This structure provides that the CISO BAA will determine whether each hour will be classified as “stressed” or “non-stressed,” and the configurable parameters established accordingly.  This will result in a variable approach where the constraint will always be enabled and the confidence factor and additional reliability margin vary across a 24-hour period. </w:t>
      </w:r>
    </w:p>
    <w:p w14:paraId="69E9AB00" w14:textId="25C5F26F" w:rsidR="00C5363F" w:rsidRDefault="00C5363F" w:rsidP="00F22128">
      <w:pPr>
        <w:pStyle w:val="Heading3"/>
      </w:pPr>
      <w:bookmarkStart w:id="290" w:name="_Toc228963758"/>
      <w:r w:rsidRPr="00F178B8">
        <w:rPr>
          <w:rStyle w:val="Heading2Char"/>
        </w:rPr>
        <w:lastRenderedPageBreak/>
        <w:t>CONFIDENCE FACTOR</w:t>
      </w:r>
      <w:bookmarkEnd w:id="290"/>
      <w:r w:rsidRPr="00F178B8">
        <w:t xml:space="preserve"> </w:t>
      </w:r>
    </w:p>
    <w:p w14:paraId="7C335039" w14:textId="18D5357E" w:rsidR="00C5363F" w:rsidRPr="00C5363F" w:rsidRDefault="00C5363F" w:rsidP="00C5363F">
      <w:pPr>
        <w:spacing w:line="276" w:lineRule="auto"/>
        <w:ind w:left="720"/>
        <w:rPr>
          <w:rFonts w:ascii="Arial" w:hAnsi="Arial" w:cs="Arial"/>
        </w:rPr>
      </w:pPr>
      <w:r w:rsidRPr="00C5363F">
        <w:rPr>
          <w:rFonts w:ascii="Arial" w:hAnsi="Arial" w:cs="Arial"/>
        </w:rPr>
        <w:t>T</w:t>
      </w:r>
      <w:r w:rsidRPr="00C5363F">
        <w:rPr>
          <w:rFonts w:ascii="Arial" w:hAnsi="Arial" w:cs="Arial"/>
        </w:rPr>
        <w:t xml:space="preserve">he CISO BAA will determine, or “tune,” a confidence factor for each hour depending on whether the hour is “stressed” or “non-stressed.”  At EDAM launch, the CISO BAA will tune the parameter to establish a 0% confidence factor during all stressed and non-stressed hours, as agreed with its stakeholders via formal external process.  </w:t>
      </w:r>
    </w:p>
    <w:p w14:paraId="1CB5D311" w14:textId="75C51BBC" w:rsidR="00C5363F" w:rsidRDefault="00C5363F" w:rsidP="00F22128">
      <w:pPr>
        <w:pStyle w:val="Heading3"/>
        <w:rPr>
          <w:bCs/>
        </w:rPr>
      </w:pPr>
      <w:bookmarkStart w:id="291" w:name="_Toc228963759"/>
      <w:r w:rsidRPr="00F178B8">
        <w:rPr>
          <w:rStyle w:val="Heading2Char"/>
        </w:rPr>
        <w:t>ADDITIONAL RELIABILITY MARGIN</w:t>
      </w:r>
      <w:bookmarkEnd w:id="291"/>
    </w:p>
    <w:p w14:paraId="5799937E" w14:textId="67120C28" w:rsidR="00C5363F" w:rsidRPr="00C5363F" w:rsidRDefault="00C5363F" w:rsidP="00C5363F">
      <w:pPr>
        <w:spacing w:line="276" w:lineRule="auto"/>
        <w:ind w:left="720"/>
        <w:rPr>
          <w:rFonts w:ascii="Arial" w:hAnsi="Arial" w:cs="Arial"/>
        </w:rPr>
      </w:pPr>
      <w:r w:rsidRPr="00C5363F">
        <w:rPr>
          <w:rFonts w:ascii="Arial" w:hAnsi="Arial" w:cs="Arial"/>
        </w:rPr>
        <w:t>T</w:t>
      </w:r>
      <w:r w:rsidRPr="00C5363F">
        <w:rPr>
          <w:rFonts w:ascii="Arial" w:hAnsi="Arial" w:cs="Arial"/>
        </w:rPr>
        <w:t xml:space="preserve">he CISO BAA will tune the additional reliability margin based on a determination of stressed and non-stressed hours.  </w:t>
      </w:r>
    </w:p>
    <w:p w14:paraId="39BC1B1F" w14:textId="77777777" w:rsidR="00C5363F" w:rsidRPr="00C5363F" w:rsidRDefault="00C5363F" w:rsidP="00C5363F">
      <w:pPr>
        <w:spacing w:line="276" w:lineRule="auto"/>
        <w:ind w:left="1440"/>
        <w:rPr>
          <w:rFonts w:ascii="Arial" w:hAnsi="Arial" w:cs="Arial"/>
        </w:rPr>
      </w:pPr>
      <w:r w:rsidRPr="00C5363F">
        <w:rPr>
          <w:rFonts w:ascii="Arial" w:hAnsi="Arial" w:cs="Arial"/>
        </w:rPr>
        <w:t xml:space="preserve">For all hours, the CISO BAA will determine, or “tune,” a reliability margin for each hour depending on whether the hour is “stressed” or “non-stressed.” </w:t>
      </w:r>
    </w:p>
    <w:p w14:paraId="00693FA5" w14:textId="77777777" w:rsidR="00C5363F" w:rsidRPr="00C5363F" w:rsidRDefault="00C5363F" w:rsidP="00C5363F">
      <w:pPr>
        <w:spacing w:line="276" w:lineRule="auto"/>
        <w:ind w:left="1440"/>
        <w:rPr>
          <w:rFonts w:ascii="Arial" w:hAnsi="Arial" w:cs="Arial"/>
        </w:rPr>
      </w:pPr>
      <w:r w:rsidRPr="00C5363F">
        <w:rPr>
          <w:rFonts w:ascii="Arial" w:hAnsi="Arial" w:cs="Arial"/>
        </w:rPr>
        <w:t>At EDAM launch, for stressed hours, the CISO BAA will tune the parameter to establish hourly default values calculated by taking, at a minimum, the max of (1) replacement reserves based on forecasted most severe single contingency and (2) protection for a non-credible contingency (</w:t>
      </w:r>
      <w:r w:rsidRPr="00C5363F">
        <w:rPr>
          <w:rFonts w:ascii="Arial" w:hAnsi="Arial" w:cs="Arial"/>
          <w:i/>
          <w:iCs/>
        </w:rPr>
        <w:t xml:space="preserve">e.g., </w:t>
      </w:r>
      <w:r w:rsidRPr="00C5363F">
        <w:rPr>
          <w:rFonts w:ascii="Arial" w:hAnsi="Arial" w:cs="Arial"/>
        </w:rPr>
        <w:t>extreme weather, fires, gas operational flow order).  For all non-stressed hours, the CISO BAA will tune the parameter by utilizing hourly values established through operator experience based on system conditions (</w:t>
      </w:r>
      <w:r w:rsidRPr="00C5363F">
        <w:rPr>
          <w:rFonts w:ascii="Arial" w:hAnsi="Arial" w:cs="Arial"/>
          <w:i/>
          <w:iCs/>
        </w:rPr>
        <w:t xml:space="preserve">e.g., </w:t>
      </w:r>
      <w:r w:rsidRPr="00C5363F">
        <w:rPr>
          <w:rFonts w:ascii="Arial" w:hAnsi="Arial" w:cs="Arial"/>
        </w:rPr>
        <w:t xml:space="preserve">may utilize the stressed hour default values or another appropriate metric).  </w:t>
      </w:r>
    </w:p>
    <w:p w14:paraId="60BB4613" w14:textId="77777777" w:rsidR="00C5363F" w:rsidRDefault="00C5363F" w:rsidP="00C5363F">
      <w:pPr>
        <w:spacing w:after="0" w:line="276" w:lineRule="auto"/>
        <w:ind w:left="720"/>
      </w:pPr>
    </w:p>
    <w:p w14:paraId="1F3258EA" w14:textId="77777777" w:rsidR="00C5363F" w:rsidRPr="00E67016" w:rsidRDefault="00C5363F" w:rsidP="00F22128">
      <w:pPr>
        <w:pStyle w:val="Heading3"/>
        <w:rPr>
          <w:rFonts w:ascii="Arial" w:hAnsi="Arial"/>
          <w:b w:val="0"/>
          <w:bCs/>
          <w:sz w:val="30"/>
          <w:szCs w:val="30"/>
        </w:rPr>
      </w:pPr>
      <w:r w:rsidRPr="00E67016">
        <w:rPr>
          <w:b w:val="0"/>
          <w:bCs/>
          <w:sz w:val="30"/>
          <w:szCs w:val="30"/>
        </w:rPr>
        <w:t xml:space="preserve">STRESSED HOUR DETERMINATION </w:t>
      </w:r>
    </w:p>
    <w:p w14:paraId="48C0253E" w14:textId="1EA055FB" w:rsidR="00E67016" w:rsidRPr="00E67016" w:rsidRDefault="00E67016" w:rsidP="00C5363F">
      <w:pPr>
        <w:spacing w:after="0" w:line="276" w:lineRule="auto"/>
        <w:ind w:left="720"/>
        <w:rPr>
          <w:rFonts w:ascii="Arial" w:hAnsi="Arial" w:cs="Arial"/>
        </w:rPr>
      </w:pPr>
      <w:r w:rsidRPr="00E67016">
        <w:rPr>
          <w:rFonts w:ascii="Arial" w:hAnsi="Arial" w:cs="Arial"/>
        </w:rPr>
        <w:t xml:space="preserve">The CISO BAA will utilize the following criteria to distinguish between stressed and non-stressed hours, with such designations reported via OASIS:  </w:t>
      </w:r>
    </w:p>
    <w:p w14:paraId="500529F5" w14:textId="77777777" w:rsidR="00E67016" w:rsidRDefault="00E67016" w:rsidP="00C5363F">
      <w:pPr>
        <w:spacing w:after="0" w:line="276" w:lineRule="auto"/>
        <w:ind w:left="720"/>
        <w:rPr>
          <w:rFonts w:ascii="Arial" w:hAnsi="Arial" w:cs="Arial"/>
          <w:u w:val="single"/>
        </w:rPr>
      </w:pPr>
    </w:p>
    <w:p w14:paraId="68B6BD2D" w14:textId="0E619105" w:rsidR="00C5363F" w:rsidRDefault="00C5363F" w:rsidP="00C5363F">
      <w:pPr>
        <w:spacing w:after="0" w:line="276" w:lineRule="auto"/>
        <w:ind w:left="720"/>
        <w:rPr>
          <w:rFonts w:ascii="Arial" w:hAnsi="Arial" w:cs="Arial"/>
        </w:rPr>
      </w:pPr>
      <w:r w:rsidRPr="00C5363F">
        <w:rPr>
          <w:rFonts w:ascii="Arial" w:hAnsi="Arial" w:cs="Arial"/>
          <w:u w:val="single"/>
        </w:rPr>
        <w:t>Stressed Hour</w:t>
      </w:r>
      <w:r w:rsidRPr="00C5363F">
        <w:rPr>
          <w:rFonts w:ascii="Arial" w:hAnsi="Arial" w:cs="Arial"/>
        </w:rPr>
        <w:t xml:space="preserve">: </w:t>
      </w:r>
    </w:p>
    <w:p w14:paraId="00BC7DF9" w14:textId="77777777" w:rsidR="00C5363F" w:rsidRDefault="00C5363F" w:rsidP="00C5363F">
      <w:pPr>
        <w:spacing w:after="0" w:line="276" w:lineRule="auto"/>
        <w:ind w:left="720"/>
        <w:rPr>
          <w:rFonts w:ascii="Arial" w:hAnsi="Arial" w:cs="Arial"/>
        </w:rPr>
      </w:pPr>
    </w:p>
    <w:p w14:paraId="3825A95C" w14:textId="458454F8" w:rsidR="00C5363F" w:rsidRPr="00C5363F" w:rsidRDefault="00C5363F" w:rsidP="00C5363F">
      <w:pPr>
        <w:spacing w:after="0" w:line="276" w:lineRule="auto"/>
        <w:ind w:left="720"/>
        <w:rPr>
          <w:rFonts w:ascii="Arial" w:hAnsi="Arial" w:cs="Arial"/>
        </w:rPr>
      </w:pPr>
      <w:r w:rsidRPr="00C5363F">
        <w:rPr>
          <w:rFonts w:ascii="Arial" w:hAnsi="Arial" w:cs="Arial"/>
        </w:rPr>
        <w:t>Includes any hour that meets one of the following conditions:</w:t>
      </w:r>
    </w:p>
    <w:p w14:paraId="17DF10E1"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 net-load peak hour (including hour-ending 17 through hour-ending 21), any day throughout the calendar year; or </w:t>
      </w:r>
    </w:p>
    <w:p w14:paraId="63975523"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an hour in which operational RA capacity + RA credits &lt; demand forecast + contingency reserve requirement + regulation reserve + imbalance reserve upward requirement; or </w:t>
      </w:r>
    </w:p>
    <w:p w14:paraId="3FAA11E8"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an hour in which operational net RA capacity + RA credits &lt; net demand forecast + contingency reserve requirement + regulation reserve + imbalance reserve upward requirement; or </w:t>
      </w:r>
    </w:p>
    <w:p w14:paraId="7A7DC439"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lastRenderedPageBreak/>
        <w:t xml:space="preserve">Is an hour in which the advisory RSE upward failure quantity – expected day-ahead offers not yet submitted by available RA resources with day-ahead must offer obligations &gt; 0; or </w:t>
      </w:r>
    </w:p>
    <w:p w14:paraId="45DDC1D5"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w:t>
      </w:r>
      <w:proofErr w:type="gramStart"/>
      <w:r w:rsidRPr="00C5363F">
        <w:rPr>
          <w:rFonts w:ascii="Arial" w:hAnsi="Arial" w:cs="Arial"/>
        </w:rPr>
        <w:t>an</w:t>
      </w:r>
      <w:proofErr w:type="gramEnd"/>
      <w:r w:rsidRPr="00C5363F">
        <w:rPr>
          <w:rFonts w:ascii="Arial" w:hAnsi="Arial" w:cs="Arial"/>
        </w:rPr>
        <w:t xml:space="preserve"> hour in which Restricted Maintenance Operations are in effect; or </w:t>
      </w:r>
    </w:p>
    <w:p w14:paraId="6761DD6C"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an hour in which there is a wide-area Transmission Emergency; or </w:t>
      </w:r>
    </w:p>
    <w:p w14:paraId="3078584B"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an hour in which the D+2 RUC shows an infeasibility; or </w:t>
      </w:r>
    </w:p>
    <w:p w14:paraId="13E009D8"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 xml:space="preserve">Is an hour in which an EEA Watch is in effect, if called before the submission deadline; or </w:t>
      </w:r>
    </w:p>
    <w:p w14:paraId="14E659B8" w14:textId="77777777" w:rsidR="00C5363F" w:rsidRPr="00C5363F" w:rsidRDefault="00C5363F" w:rsidP="00C5363F">
      <w:pPr>
        <w:pStyle w:val="ListParagraph"/>
        <w:numPr>
          <w:ilvl w:val="0"/>
          <w:numId w:val="70"/>
        </w:numPr>
        <w:spacing w:after="0" w:line="276" w:lineRule="auto"/>
        <w:rPr>
          <w:rFonts w:ascii="Arial" w:hAnsi="Arial" w:cs="Arial"/>
        </w:rPr>
      </w:pPr>
      <w:r w:rsidRPr="00C5363F">
        <w:rPr>
          <w:rFonts w:ascii="Arial" w:hAnsi="Arial" w:cs="Arial"/>
        </w:rPr>
        <w:t>Is an hour in which a Flex Alert is in effect, if called before the submission deadline; or</w:t>
      </w:r>
    </w:p>
    <w:p w14:paraId="640CAECD" w14:textId="77777777" w:rsidR="00C5363F" w:rsidRPr="00C5363F" w:rsidRDefault="00C5363F" w:rsidP="00C5363F">
      <w:pPr>
        <w:pStyle w:val="ListParagraph"/>
        <w:numPr>
          <w:ilvl w:val="0"/>
          <w:numId w:val="70"/>
        </w:numPr>
        <w:spacing w:after="0" w:line="276" w:lineRule="auto"/>
        <w:rPr>
          <w:rFonts w:ascii="Arial" w:hAnsi="Arial" w:cs="Arial"/>
        </w:rPr>
      </w:pPr>
      <w:proofErr w:type="gramStart"/>
      <w:r w:rsidRPr="00C5363F">
        <w:rPr>
          <w:rFonts w:ascii="Arial" w:hAnsi="Arial" w:cs="Arial"/>
        </w:rPr>
        <w:t>Is</w:t>
      </w:r>
      <w:proofErr w:type="gramEnd"/>
      <w:r w:rsidRPr="00C5363F">
        <w:rPr>
          <w:rFonts w:ascii="Arial" w:hAnsi="Arial" w:cs="Arial"/>
        </w:rPr>
        <w:t xml:space="preserve"> an hour in which CISO BAA system operations, based on system conditions and operator experience, has indicated is a </w:t>
      </w:r>
      <w:proofErr w:type="gramStart"/>
      <w:r w:rsidRPr="00C5363F">
        <w:rPr>
          <w:rFonts w:ascii="Arial" w:hAnsi="Arial" w:cs="Arial"/>
        </w:rPr>
        <w:t>stressed</w:t>
      </w:r>
      <w:proofErr w:type="gramEnd"/>
      <w:r w:rsidRPr="00C5363F">
        <w:rPr>
          <w:rFonts w:ascii="Arial" w:hAnsi="Arial" w:cs="Arial"/>
        </w:rPr>
        <w:t xml:space="preserve"> hour.  </w:t>
      </w:r>
    </w:p>
    <w:p w14:paraId="559AC8D6" w14:textId="77777777" w:rsidR="00C5363F" w:rsidRPr="00C5363F" w:rsidRDefault="00C5363F" w:rsidP="00C5363F">
      <w:pPr>
        <w:pStyle w:val="ListParagraph"/>
        <w:spacing w:after="0" w:line="276" w:lineRule="auto"/>
        <w:ind w:left="1440"/>
        <w:rPr>
          <w:rFonts w:ascii="Arial" w:hAnsi="Arial" w:cs="Arial"/>
        </w:rPr>
      </w:pPr>
    </w:p>
    <w:p w14:paraId="2E1795D5" w14:textId="77777777" w:rsidR="00C5363F" w:rsidRPr="00C5363F" w:rsidRDefault="00C5363F" w:rsidP="00C5363F">
      <w:pPr>
        <w:spacing w:after="0" w:line="276" w:lineRule="auto"/>
        <w:ind w:left="720"/>
        <w:rPr>
          <w:rFonts w:ascii="Arial" w:hAnsi="Arial" w:cs="Arial"/>
        </w:rPr>
      </w:pPr>
      <w:r w:rsidRPr="00C5363F">
        <w:rPr>
          <w:rFonts w:ascii="Arial" w:hAnsi="Arial" w:cs="Arial"/>
          <w:u w:val="single"/>
        </w:rPr>
        <w:t>Non-Stressed Hour</w:t>
      </w:r>
      <w:r w:rsidRPr="00C5363F">
        <w:rPr>
          <w:rFonts w:ascii="Arial" w:hAnsi="Arial" w:cs="Arial"/>
        </w:rPr>
        <w:t xml:space="preserve">: Includes any hour that does not meet the criteria above.  </w:t>
      </w:r>
    </w:p>
    <w:p w14:paraId="59DBC8EB" w14:textId="77777777" w:rsidR="00C5363F" w:rsidRDefault="00C5363F" w:rsidP="00C5363F">
      <w:pPr>
        <w:spacing w:after="0" w:line="276" w:lineRule="auto"/>
      </w:pPr>
    </w:p>
    <w:p w14:paraId="5FB7D695" w14:textId="77777777" w:rsidR="00C5363F" w:rsidRDefault="00C5363F" w:rsidP="00C5363F">
      <w:pPr>
        <w:spacing w:after="0" w:line="276" w:lineRule="auto"/>
      </w:pPr>
    </w:p>
    <w:p w14:paraId="2AAFEB98" w14:textId="77777777" w:rsidR="00C5363F" w:rsidRPr="006E5E99" w:rsidRDefault="00C5363F" w:rsidP="00C5363F">
      <w:pPr>
        <w:pStyle w:val="Heading2"/>
        <w:spacing w:line="276" w:lineRule="auto"/>
      </w:pPr>
      <w:bookmarkStart w:id="292" w:name="_Toc228963760"/>
      <w:r>
        <w:t>Securing Day Ahead Sufficiency Within the CISO BAA</w:t>
      </w:r>
      <w:bookmarkEnd w:id="292"/>
      <w:r>
        <w:t xml:space="preserve"> </w:t>
      </w:r>
    </w:p>
    <w:p w14:paraId="39EDFB6A" w14:textId="77777777" w:rsidR="00C5363F" w:rsidRDefault="00C5363F" w:rsidP="00C5363F">
      <w:pPr>
        <w:spacing w:after="0" w:line="276" w:lineRule="auto"/>
        <w:ind w:left="720"/>
        <w:rPr>
          <w:rFonts w:ascii="Arial" w:hAnsi="Arial" w:cs="Arial"/>
          <w:u w:val="single"/>
        </w:rPr>
      </w:pPr>
      <w:r w:rsidRPr="00C5363F">
        <w:rPr>
          <w:rFonts w:ascii="Arial" w:hAnsi="Arial" w:cs="Arial"/>
          <w:u w:val="single"/>
        </w:rPr>
        <w:t>Reference Section 33.31</w:t>
      </w:r>
    </w:p>
    <w:p w14:paraId="7E37CE28" w14:textId="77777777" w:rsidR="00C5363F" w:rsidRPr="00C5363F" w:rsidRDefault="00C5363F" w:rsidP="00C5363F">
      <w:pPr>
        <w:spacing w:after="0" w:line="276" w:lineRule="auto"/>
        <w:ind w:left="720"/>
        <w:rPr>
          <w:rFonts w:ascii="Arial" w:hAnsi="Arial" w:cs="Arial"/>
          <w:u w:val="single"/>
        </w:rPr>
      </w:pPr>
    </w:p>
    <w:p w14:paraId="79D2D923" w14:textId="77777777" w:rsidR="00C5363F" w:rsidRPr="00C5363F" w:rsidRDefault="00C5363F" w:rsidP="00C5363F">
      <w:pPr>
        <w:spacing w:line="276" w:lineRule="auto"/>
        <w:ind w:left="720"/>
        <w:rPr>
          <w:rFonts w:ascii="Arial" w:hAnsi="Arial" w:cs="Arial"/>
        </w:rPr>
      </w:pPr>
      <w:r w:rsidRPr="00C5363F">
        <w:rPr>
          <w:rFonts w:ascii="Arial" w:hAnsi="Arial" w:cs="Arial"/>
        </w:rPr>
        <w:t xml:space="preserve">The EDAM resource sufficiency evaluation (RSE) is designed to incentivize BAAs participating in EDAM, like the CISO BAA, to offer sufficient supply to meet their next-day obligations prior to engaging in transfers with other EDAM participating BAAs.  As an EDAM participating BAA, the CISO BAA must be prepared to meet its Day Ahead RSE obligations at or before 10 a.m. each morning. As part of this process, the CISO BAA will evaluate its RSE position and take actions to ensure reliability if there is a significant projected supply shortfall.  The RSE is applied equally and uniformly across the EDAM BAAs. The processes and actions discussed below are equally applicable and available to any EDAM BAA that chooses to use them.  </w:t>
      </w:r>
    </w:p>
    <w:p w14:paraId="28E1066F" w14:textId="77777777" w:rsidR="00C5363F" w:rsidRDefault="00C5363F" w:rsidP="00C5363F">
      <w:pPr>
        <w:spacing w:after="0" w:line="276" w:lineRule="auto"/>
        <w:ind w:left="720"/>
      </w:pPr>
    </w:p>
    <w:p w14:paraId="5BC08765" w14:textId="77777777" w:rsidR="00C5363F" w:rsidRPr="00E0313E" w:rsidRDefault="00C5363F" w:rsidP="00F22128">
      <w:pPr>
        <w:pStyle w:val="BPM2"/>
      </w:pPr>
      <w:r w:rsidRPr="00E0313E">
        <w:t>Ensuring the advisory RSE results provide a realistic assessment of expected CISO BAA supply and demand obligations to support reliable operation:</w:t>
      </w:r>
    </w:p>
    <w:p w14:paraId="04171AF1" w14:textId="77777777" w:rsidR="00C5363F" w:rsidRPr="00C5363F" w:rsidRDefault="00C5363F" w:rsidP="00C5363F">
      <w:pPr>
        <w:spacing w:line="276" w:lineRule="auto"/>
        <w:ind w:left="1440"/>
        <w:rPr>
          <w:rFonts w:ascii="Arial" w:hAnsi="Arial" w:cs="Arial"/>
        </w:rPr>
      </w:pPr>
      <w:r w:rsidRPr="00C5363F">
        <w:rPr>
          <w:rFonts w:ascii="Arial" w:hAnsi="Arial" w:cs="Arial"/>
        </w:rPr>
        <w:t>The CISO BAA requests all Scheduling Coordinators to submit bids and offers into the markets as early as possible to support the advisory RSE results and CISO BAA action efforts described below, including the estimation process that will help inform the determination that the CISO BAA is at risk of failing the EDAM RSE.  While Scheduling Coordinators are not required to do so, failure to submit timely bids and offers before 9 a.m. may cause advisory RSE results for the CISO BAA to fail to reflect significant volumes associated with day-ahead supply offers that are expected and required by 10 a.m. (</w:t>
      </w:r>
      <w:r w:rsidRPr="00C5363F">
        <w:rPr>
          <w:rFonts w:ascii="Arial" w:hAnsi="Arial" w:cs="Arial"/>
          <w:i/>
          <w:iCs/>
        </w:rPr>
        <w:t xml:space="preserve">e.g., </w:t>
      </w:r>
      <w:r w:rsidRPr="00C5363F">
        <w:rPr>
          <w:rFonts w:ascii="Arial" w:hAnsi="Arial" w:cs="Arial"/>
        </w:rPr>
        <w:t xml:space="preserve">“false failures”).  To </w:t>
      </w:r>
      <w:r w:rsidRPr="00C5363F">
        <w:rPr>
          <w:rFonts w:ascii="Arial" w:hAnsi="Arial" w:cs="Arial"/>
        </w:rPr>
        <w:lastRenderedPageBreak/>
        <w:t>the extent market participants can voluntarily submit day-ahead offers by 9 a.m., this will increase the accuracy of the advisory RSE runs and the estimation process that will help inform the determination that the CISO BAA is at risk of failing the EDAM RSE. Submission prior to 9 a.m. would not prevent scheduling coordinators from further updating their offers until the day-ahead market closes at 10 a.m.</w:t>
      </w:r>
    </w:p>
    <w:p w14:paraId="05713C96" w14:textId="77777777" w:rsidR="00C5363F" w:rsidRPr="00C5363F" w:rsidRDefault="00C5363F" w:rsidP="00C5363F">
      <w:pPr>
        <w:spacing w:line="276" w:lineRule="auto"/>
        <w:ind w:left="1440"/>
        <w:rPr>
          <w:rFonts w:ascii="Arial" w:hAnsi="Arial" w:cs="Arial"/>
        </w:rPr>
      </w:pPr>
      <w:r w:rsidRPr="00C5363F">
        <w:rPr>
          <w:rFonts w:ascii="Arial" w:hAnsi="Arial" w:cs="Arial"/>
        </w:rPr>
        <w:t xml:space="preserve">Based on operator judgement and experience, and good utility practice, each day the CISO BAA will utilize all metrics available, including the estimation process that will help inform the determination that the CISO BAA is at risk of failing the EDAM RSE, to evaluate the advisory RSE results to determine if the CISO BAA is at risk of failing the EDAM RSE and, where appropriate, will take actions as described below.  </w:t>
      </w:r>
    </w:p>
    <w:p w14:paraId="642E0056" w14:textId="77777777" w:rsidR="00C5363F" w:rsidRDefault="00C5363F" w:rsidP="00F22128">
      <w:pPr>
        <w:pStyle w:val="BPM3"/>
      </w:pPr>
      <w:r w:rsidRPr="00895FEB">
        <w:t>Accounting for reliability demand response resources</w:t>
      </w:r>
      <w:r>
        <w:t>:</w:t>
      </w:r>
    </w:p>
    <w:p w14:paraId="53CFC5C6" w14:textId="77777777" w:rsidR="00C5363F" w:rsidRDefault="00C5363F" w:rsidP="00C5363F">
      <w:pPr>
        <w:spacing w:line="276" w:lineRule="auto"/>
        <w:ind w:left="1440"/>
        <w:contextualSpacing/>
        <w:rPr>
          <w:rFonts w:ascii="Arial" w:hAnsi="Arial" w:cs="Arial"/>
        </w:rPr>
      </w:pPr>
      <w:r w:rsidRPr="00C5363F">
        <w:rPr>
          <w:rFonts w:ascii="Arial" w:hAnsi="Arial" w:cs="Arial"/>
        </w:rPr>
        <w:t xml:space="preserve">Consistent with Tariff section 33.31.4.1, load modification and demand response resources that do not qualify as EDAM Resource Facilities may be accounted for within the RSE.  If the CISO BAA accounts for load modification and demand response resources through this mechanism, the CISO BAA may adjust RUC participation to correspond to such adjustment.  Any other EDAM BAA with reliability demand response resources (RDRR) may also utilize the process described below.  </w:t>
      </w:r>
    </w:p>
    <w:p w14:paraId="6B432763" w14:textId="77777777" w:rsidR="00C5363F" w:rsidRPr="00C5363F" w:rsidRDefault="00C5363F" w:rsidP="00C5363F">
      <w:pPr>
        <w:spacing w:line="276" w:lineRule="auto"/>
        <w:ind w:left="1440"/>
        <w:contextualSpacing/>
        <w:rPr>
          <w:rFonts w:ascii="Arial" w:hAnsi="Arial" w:cs="Arial"/>
        </w:rPr>
      </w:pPr>
    </w:p>
    <w:p w14:paraId="64E3114C" w14:textId="77777777" w:rsidR="00C5363F" w:rsidRPr="00C5363F" w:rsidRDefault="00C5363F" w:rsidP="00C5363F">
      <w:pPr>
        <w:spacing w:line="276" w:lineRule="auto"/>
        <w:ind w:left="1440"/>
        <w:rPr>
          <w:rFonts w:ascii="Arial" w:hAnsi="Arial" w:cs="Arial"/>
        </w:rPr>
      </w:pPr>
      <w:r w:rsidRPr="00C5363F">
        <w:rPr>
          <w:rFonts w:ascii="Arial" w:hAnsi="Arial" w:cs="Arial"/>
        </w:rPr>
        <w:t>Where the CISO BAA advisory RSE results indicate the CISO BAA is anticipating or otherwise indicated to have an upward RSE shortfall in one or more intervals, then the CISO BAA may account for out-of-market load modification and demand response programs, to the extent applicable, and will submit a load modification and demand response modification to account for RDRR resources as an adjustment to the RSE.  Importantly, the adjustment will be limited to the available RDRR capacity that did not submit a day-ahead offer by 9 a.m.</w:t>
      </w:r>
      <w:r w:rsidRPr="00C5363F">
        <w:rPr>
          <w:rStyle w:val="FootnoteReference"/>
          <w:rFonts w:ascii="Arial" w:hAnsi="Arial" w:cs="Arial"/>
        </w:rPr>
        <w:footnoteReference w:id="15"/>
      </w:r>
      <w:r w:rsidRPr="00C5363F">
        <w:rPr>
          <w:rFonts w:ascii="Arial" w:hAnsi="Arial" w:cs="Arial"/>
        </w:rPr>
        <w:t xml:space="preserve">  The CISO BAA adjustment is not made unless the CISO BAA reasonably expects the RDRR resources will be enabled or deployed.</w:t>
      </w:r>
      <w:r w:rsidRPr="00C5363F">
        <w:rPr>
          <w:rStyle w:val="FootnoteReference"/>
          <w:rFonts w:ascii="Arial" w:hAnsi="Arial" w:cs="Arial"/>
        </w:rPr>
        <w:footnoteReference w:id="16"/>
      </w:r>
      <w:r w:rsidRPr="00C5363F">
        <w:rPr>
          <w:rFonts w:ascii="Arial" w:hAnsi="Arial" w:cs="Arial"/>
        </w:rPr>
        <w:t xml:space="preserve">  An MNS message will be sent if the CISO BAA accounts for RDRR as provided below.  </w:t>
      </w:r>
    </w:p>
    <w:p w14:paraId="761B7EAD" w14:textId="77777777" w:rsidR="00C5363F" w:rsidRPr="00C5363F" w:rsidRDefault="00C5363F" w:rsidP="00C5363F">
      <w:pPr>
        <w:spacing w:after="0" w:line="276" w:lineRule="auto"/>
        <w:ind w:left="1440"/>
        <w:rPr>
          <w:rFonts w:ascii="Arial" w:hAnsi="Arial" w:cs="Arial"/>
          <w:u w:val="single"/>
        </w:rPr>
      </w:pPr>
      <w:r w:rsidRPr="00C5363F">
        <w:rPr>
          <w:rFonts w:ascii="Arial" w:hAnsi="Arial" w:cs="Arial"/>
        </w:rPr>
        <w:t xml:space="preserve">  </w:t>
      </w:r>
      <w:r w:rsidRPr="00C5363F">
        <w:rPr>
          <w:rFonts w:ascii="Arial" w:hAnsi="Arial" w:cs="Arial"/>
          <w:u w:val="single"/>
        </w:rPr>
        <w:t>Process of Adding RDRR to RSE:</w:t>
      </w:r>
    </w:p>
    <w:p w14:paraId="17D7AC89" w14:textId="77777777" w:rsidR="00C5363F" w:rsidRPr="00C5363F" w:rsidRDefault="00C5363F" w:rsidP="00C5363F">
      <w:pPr>
        <w:pStyle w:val="ListParagraph"/>
        <w:spacing w:after="0" w:line="276" w:lineRule="auto"/>
        <w:ind w:left="2160"/>
        <w:rPr>
          <w:rFonts w:ascii="Arial" w:hAnsi="Arial" w:cs="Arial"/>
          <w:b/>
          <w:bCs/>
        </w:rPr>
      </w:pPr>
      <w:r w:rsidRPr="00C5363F">
        <w:rPr>
          <w:rFonts w:ascii="Arial" w:hAnsi="Arial" w:cs="Arial"/>
          <w:b/>
          <w:bCs/>
        </w:rPr>
        <w:t>CISO BAA Participant Actions:</w:t>
      </w:r>
    </w:p>
    <w:p w14:paraId="4802B6A5" w14:textId="77777777" w:rsidR="00C5363F" w:rsidRPr="00C5363F" w:rsidRDefault="00C5363F" w:rsidP="00C5363F">
      <w:pPr>
        <w:pStyle w:val="ListParagraph"/>
        <w:numPr>
          <w:ilvl w:val="0"/>
          <w:numId w:val="105"/>
        </w:numPr>
        <w:spacing w:after="0" w:line="276" w:lineRule="auto"/>
        <w:ind w:left="2520"/>
        <w:rPr>
          <w:rFonts w:ascii="Arial" w:hAnsi="Arial" w:cs="Arial"/>
        </w:rPr>
      </w:pPr>
      <w:r w:rsidRPr="00C5363F">
        <w:rPr>
          <w:rFonts w:ascii="Arial" w:hAnsi="Arial" w:cs="Arial"/>
        </w:rPr>
        <w:lastRenderedPageBreak/>
        <w:t>After 09:00 DA RSE, CISO BAA operator determines whether conditions for including RDRR in the RSE have been met</w:t>
      </w:r>
    </w:p>
    <w:p w14:paraId="2B25BE98" w14:textId="77777777" w:rsidR="00C5363F" w:rsidRPr="00C5363F" w:rsidRDefault="00C5363F" w:rsidP="00C5363F">
      <w:pPr>
        <w:pStyle w:val="ListParagraph"/>
        <w:numPr>
          <w:ilvl w:val="0"/>
          <w:numId w:val="105"/>
        </w:numPr>
        <w:spacing w:after="0" w:line="276" w:lineRule="auto"/>
        <w:ind w:left="2520"/>
        <w:rPr>
          <w:rFonts w:ascii="Arial" w:hAnsi="Arial" w:cs="Arial"/>
        </w:rPr>
      </w:pPr>
      <w:r w:rsidRPr="00C5363F">
        <w:rPr>
          <w:rFonts w:ascii="Arial" w:hAnsi="Arial" w:cs="Arial"/>
        </w:rPr>
        <w:t>CISO BAA operator determines amount of available RDRR to include in the RSE and in which hours.</w:t>
      </w:r>
    </w:p>
    <w:p w14:paraId="620DA136" w14:textId="77777777" w:rsidR="00C5363F" w:rsidRPr="00C5363F" w:rsidRDefault="00C5363F" w:rsidP="00C5363F">
      <w:pPr>
        <w:spacing w:after="0" w:line="276" w:lineRule="auto"/>
        <w:ind w:left="2160"/>
        <w:rPr>
          <w:rFonts w:ascii="Arial" w:hAnsi="Arial" w:cs="Arial"/>
          <w:b/>
          <w:bCs/>
        </w:rPr>
      </w:pPr>
      <w:r w:rsidRPr="00C5363F">
        <w:rPr>
          <w:rFonts w:ascii="Arial" w:hAnsi="Arial" w:cs="Arial"/>
          <w:b/>
          <w:bCs/>
        </w:rPr>
        <w:t>Market Operator Actions (on behalf of the CISO BAA)</w:t>
      </w:r>
      <w:r w:rsidRPr="00C5363F">
        <w:rPr>
          <w:rStyle w:val="FootnoteReference"/>
          <w:rFonts w:ascii="Arial" w:hAnsi="Arial" w:cs="Arial"/>
          <w:b/>
          <w:bCs/>
        </w:rPr>
        <w:footnoteReference w:id="17"/>
      </w:r>
      <w:r w:rsidRPr="00C5363F">
        <w:rPr>
          <w:rFonts w:ascii="Arial" w:hAnsi="Arial" w:cs="Arial"/>
          <w:b/>
          <w:bCs/>
        </w:rPr>
        <w:t>:</w:t>
      </w:r>
    </w:p>
    <w:p w14:paraId="3FEE8635" w14:textId="77777777" w:rsidR="00C5363F" w:rsidRPr="00C5363F" w:rsidRDefault="00C5363F" w:rsidP="00C5363F">
      <w:pPr>
        <w:pStyle w:val="ListParagraph"/>
        <w:numPr>
          <w:ilvl w:val="0"/>
          <w:numId w:val="107"/>
        </w:numPr>
        <w:kinsoku w:val="0"/>
        <w:overflowPunct w:val="0"/>
        <w:spacing w:after="0" w:line="276" w:lineRule="auto"/>
        <w:ind w:left="2520"/>
        <w:textAlignment w:val="baseline"/>
        <w:rPr>
          <w:rFonts w:ascii="Arial" w:eastAsia="Times New Roman" w:hAnsi="Arial" w:cs="Arial"/>
        </w:rPr>
      </w:pPr>
      <w:r w:rsidRPr="00C5363F">
        <w:rPr>
          <w:rFonts w:ascii="Arial" w:eastAsiaTheme="minorEastAsia" w:hAnsi="Arial" w:cs="Arial"/>
          <w:color w:val="000000" w:themeColor="text1"/>
          <w:kern w:val="24"/>
        </w:rPr>
        <w:t xml:space="preserve">Market operator receives RDRR values and sends MNS communicating which EDAM BAAs intend to include RDRR/equivalent resources in the DA RSE that day.  </w:t>
      </w:r>
    </w:p>
    <w:p w14:paraId="3C9F872E" w14:textId="77777777" w:rsidR="00C5363F" w:rsidRPr="00C5363F" w:rsidRDefault="00C5363F" w:rsidP="00C5363F">
      <w:pPr>
        <w:pStyle w:val="ListParagraph"/>
        <w:numPr>
          <w:ilvl w:val="0"/>
          <w:numId w:val="107"/>
        </w:numPr>
        <w:kinsoku w:val="0"/>
        <w:overflowPunct w:val="0"/>
        <w:spacing w:after="0" w:line="276" w:lineRule="auto"/>
        <w:ind w:left="2520"/>
        <w:textAlignment w:val="baseline"/>
        <w:rPr>
          <w:rFonts w:ascii="Arial" w:eastAsia="Times New Roman" w:hAnsi="Arial" w:cs="Arial"/>
        </w:rPr>
      </w:pPr>
      <w:r w:rsidRPr="00C5363F">
        <w:rPr>
          <w:rFonts w:ascii="Arial" w:eastAsia="Times New Roman" w:hAnsi="Arial" w:cs="Arial"/>
        </w:rPr>
        <w:t>Before the 10:00 binding DA RSE run, the market operator sums hours and amounts of RDRR/equivalent resource capacity and subtracts the sum from load forecast for CISO BAA (or applicable EDAM BAA, where relevant) in each hour</w:t>
      </w:r>
    </w:p>
    <w:p w14:paraId="4F11C714" w14:textId="77777777" w:rsidR="00C5363F" w:rsidRPr="00C5363F" w:rsidRDefault="00C5363F" w:rsidP="00C5363F">
      <w:pPr>
        <w:pStyle w:val="ListParagraph"/>
        <w:numPr>
          <w:ilvl w:val="0"/>
          <w:numId w:val="107"/>
        </w:numPr>
        <w:kinsoku w:val="0"/>
        <w:overflowPunct w:val="0"/>
        <w:spacing w:after="0" w:line="276" w:lineRule="auto"/>
        <w:ind w:left="2520"/>
        <w:textAlignment w:val="baseline"/>
        <w:rPr>
          <w:rFonts w:ascii="Arial" w:eastAsia="Times New Roman" w:hAnsi="Arial" w:cs="Arial"/>
        </w:rPr>
      </w:pPr>
      <w:r w:rsidRPr="00C5363F">
        <w:rPr>
          <w:rFonts w:ascii="Arial" w:eastAsia="Times New Roman" w:hAnsi="Arial" w:cs="Arial"/>
        </w:rPr>
        <w:t>Market operator executes Ancillary Service Requirement Setter for CISO BAA and then executes the market runs (e.g. MPM/IFM)</w:t>
      </w:r>
    </w:p>
    <w:p w14:paraId="780F1C29" w14:textId="77777777" w:rsidR="00C5363F" w:rsidRPr="00C5363F" w:rsidRDefault="00C5363F" w:rsidP="00C5363F">
      <w:pPr>
        <w:pStyle w:val="ListParagraph"/>
        <w:numPr>
          <w:ilvl w:val="0"/>
          <w:numId w:val="107"/>
        </w:numPr>
        <w:kinsoku w:val="0"/>
        <w:overflowPunct w:val="0"/>
        <w:spacing w:after="0" w:line="276" w:lineRule="auto"/>
        <w:ind w:left="2520"/>
        <w:textAlignment w:val="baseline"/>
        <w:rPr>
          <w:rFonts w:ascii="Arial" w:eastAsia="Times New Roman" w:hAnsi="Arial" w:cs="Arial"/>
        </w:rPr>
      </w:pPr>
      <w:r w:rsidRPr="00C5363F">
        <w:rPr>
          <w:rFonts w:ascii="Arial" w:hAnsi="Arial" w:cs="Arial"/>
        </w:rPr>
        <w:t>Before RUC, the market operator may create a RUC Net Short amount for CISO BAA to reflect adjustment level.</w:t>
      </w:r>
      <w:r w:rsidRPr="00C5363F">
        <w:rPr>
          <w:rStyle w:val="FootnoteReference"/>
          <w:rFonts w:ascii="Arial" w:hAnsi="Arial" w:cs="Arial"/>
        </w:rPr>
        <w:footnoteReference w:id="18"/>
      </w:r>
      <w:r w:rsidRPr="00C5363F">
        <w:rPr>
          <w:rFonts w:ascii="Arial" w:hAnsi="Arial" w:cs="Arial"/>
        </w:rPr>
        <w:t xml:space="preserve">  </w:t>
      </w:r>
    </w:p>
    <w:p w14:paraId="76B83F30" w14:textId="77777777" w:rsidR="00C5363F" w:rsidRDefault="00C5363F" w:rsidP="00C5363F">
      <w:pPr>
        <w:pStyle w:val="ListParagraph"/>
        <w:numPr>
          <w:ilvl w:val="0"/>
          <w:numId w:val="107"/>
        </w:numPr>
        <w:kinsoku w:val="0"/>
        <w:overflowPunct w:val="0"/>
        <w:spacing w:after="0" w:line="276" w:lineRule="auto"/>
        <w:ind w:left="2520"/>
        <w:textAlignment w:val="baseline"/>
        <w:rPr>
          <w:rFonts w:ascii="Arial" w:eastAsia="Times New Roman" w:hAnsi="Arial" w:cs="Arial"/>
        </w:rPr>
      </w:pPr>
      <w:r w:rsidRPr="00C5363F">
        <w:rPr>
          <w:rFonts w:ascii="Arial" w:eastAsia="Times New Roman" w:hAnsi="Arial" w:cs="Arial"/>
        </w:rPr>
        <w:t>Market operator publishes the summed RUC Net Short adjustment to CISO BAA OASIS site with RDRR identified in the reason(s) on days it is incorporated</w:t>
      </w:r>
    </w:p>
    <w:p w14:paraId="79FFE5CC" w14:textId="77777777" w:rsidR="00C5363F" w:rsidRPr="00C5363F" w:rsidRDefault="00C5363F" w:rsidP="00C5363F">
      <w:pPr>
        <w:pStyle w:val="ListParagraph"/>
        <w:kinsoku w:val="0"/>
        <w:overflowPunct w:val="0"/>
        <w:spacing w:after="0" w:line="276" w:lineRule="auto"/>
        <w:ind w:left="2520"/>
        <w:textAlignment w:val="baseline"/>
        <w:rPr>
          <w:rFonts w:ascii="Arial" w:eastAsia="Times New Roman" w:hAnsi="Arial" w:cs="Arial"/>
        </w:rPr>
      </w:pPr>
    </w:p>
    <w:p w14:paraId="155CFCAA" w14:textId="77777777" w:rsidR="00C5363F" w:rsidRDefault="00C5363F" w:rsidP="00F22128">
      <w:pPr>
        <w:pStyle w:val="BPM3"/>
      </w:pPr>
      <w:r w:rsidRPr="00895FEB">
        <w:t>Accounting for strategic reliability reserve resources</w:t>
      </w:r>
      <w:r>
        <w:t>:</w:t>
      </w:r>
    </w:p>
    <w:p w14:paraId="2B55D2B6" w14:textId="77777777" w:rsidR="00C5363F" w:rsidRPr="00C5363F" w:rsidRDefault="00C5363F" w:rsidP="00C5363F">
      <w:pPr>
        <w:spacing w:line="276" w:lineRule="auto"/>
        <w:ind w:left="1440"/>
        <w:rPr>
          <w:rFonts w:ascii="Arial" w:hAnsi="Arial" w:cs="Arial"/>
        </w:rPr>
      </w:pPr>
      <w:r w:rsidRPr="00C5363F">
        <w:rPr>
          <w:rFonts w:ascii="Arial" w:hAnsi="Arial" w:cs="Arial"/>
        </w:rPr>
        <w:t>In 2022, Assembly Bill (AB) 205 was signed into California law and created a strategic reliability reserve to support grid reliability during extreme events.  Within the CISO BAA, the Electricity Supply Strategic Reliability Reserve Program (ESSRRP) includes two types of resources: long-start and short-start.  The dispatch of the ESSRRP resources for the use in the CISO BAA is described in Operating Procedure 4420.</w:t>
      </w:r>
    </w:p>
    <w:p w14:paraId="16815880" w14:textId="77777777" w:rsidR="00C5363F" w:rsidRPr="00C5363F" w:rsidRDefault="00C5363F" w:rsidP="00C5363F">
      <w:pPr>
        <w:spacing w:line="276" w:lineRule="auto"/>
        <w:ind w:left="1440"/>
        <w:rPr>
          <w:rFonts w:ascii="Arial" w:hAnsi="Arial" w:cs="Arial"/>
        </w:rPr>
      </w:pPr>
      <w:r w:rsidRPr="00C5363F">
        <w:rPr>
          <w:rFonts w:ascii="Arial" w:hAnsi="Arial" w:cs="Arial"/>
          <w:u w:val="single"/>
        </w:rPr>
        <w:t>Long-Start Strategic Reserve Resources in CISO BAA</w:t>
      </w:r>
      <w:r w:rsidRPr="00C5363F">
        <w:rPr>
          <w:rFonts w:ascii="Arial" w:hAnsi="Arial" w:cs="Arial"/>
          <w:b/>
          <w:bCs/>
        </w:rPr>
        <w:t xml:space="preserve">: </w:t>
      </w:r>
      <w:r w:rsidRPr="00C5363F">
        <w:rPr>
          <w:rFonts w:ascii="Arial" w:hAnsi="Arial" w:cs="Arial"/>
        </w:rPr>
        <w:t xml:space="preserve">will be accounted for when such resources are online and meet operational requirements.  </w:t>
      </w:r>
    </w:p>
    <w:p w14:paraId="7B2CEBCE" w14:textId="77777777" w:rsidR="00C5363F" w:rsidRPr="00C5363F" w:rsidRDefault="00C5363F" w:rsidP="00C5363F">
      <w:pPr>
        <w:spacing w:line="276" w:lineRule="auto"/>
        <w:ind w:left="1440"/>
        <w:rPr>
          <w:rFonts w:ascii="Arial" w:hAnsi="Arial" w:cs="Arial"/>
        </w:rPr>
      </w:pPr>
      <w:r w:rsidRPr="00C5363F">
        <w:rPr>
          <w:rFonts w:ascii="Arial" w:hAnsi="Arial" w:cs="Arial"/>
        </w:rPr>
        <w:t xml:space="preserve">Long-start ESSRRP resources may be committed by the ISO multiple days in advance of a forecasted extreme event warranting grid support, to accommodate unit start-up times and to allow for unit testing in advance of an extreme event.   Operating Procedure 4420 outlines that long-start SRR resources are not required to bid into the day-ahead market when they are brought online.  Rather than relying solely on day-ahead market bids, ISO market operators will monitor </w:t>
      </w:r>
      <w:r w:rsidRPr="00C5363F">
        <w:rPr>
          <w:rFonts w:ascii="Arial" w:hAnsi="Arial" w:cs="Arial"/>
        </w:rPr>
        <w:lastRenderedPageBreak/>
        <w:t xml:space="preserve">SRR activity and include long-start SRR resources in the RSE on days when they have been brought online and met operational requirements.  </w:t>
      </w:r>
    </w:p>
    <w:p w14:paraId="055F3EB7" w14:textId="77777777" w:rsidR="00C5363F" w:rsidRPr="00C5363F" w:rsidRDefault="00C5363F" w:rsidP="00C5363F">
      <w:pPr>
        <w:spacing w:line="276" w:lineRule="auto"/>
        <w:ind w:left="1440"/>
        <w:rPr>
          <w:rFonts w:ascii="Arial" w:hAnsi="Arial" w:cs="Arial"/>
        </w:rPr>
      </w:pPr>
      <w:r w:rsidRPr="00C5363F">
        <w:rPr>
          <w:rFonts w:ascii="Arial" w:hAnsi="Arial" w:cs="Arial"/>
          <w:u w:val="single"/>
        </w:rPr>
        <w:t>Short-Start Strategic Reserve Resources in CISO BAA:</w:t>
      </w:r>
      <w:r w:rsidRPr="00C5363F">
        <w:rPr>
          <w:rFonts w:ascii="Arial" w:hAnsi="Arial" w:cs="Arial"/>
        </w:rPr>
        <w:t xml:space="preserve"> will not be accounted for in the day-ahead timeframe.</w:t>
      </w:r>
    </w:p>
    <w:p w14:paraId="31F5B624" w14:textId="77777777" w:rsidR="00C5363F" w:rsidRPr="00C5363F" w:rsidRDefault="00C5363F" w:rsidP="00C5363F">
      <w:pPr>
        <w:ind w:left="1440"/>
        <w:rPr>
          <w:rFonts w:ascii="Arial" w:hAnsi="Arial" w:cs="Arial"/>
        </w:rPr>
      </w:pPr>
      <w:r w:rsidRPr="00C5363F">
        <w:rPr>
          <w:rFonts w:ascii="Arial" w:hAnsi="Arial" w:cs="Arial"/>
        </w:rPr>
        <w:t xml:space="preserve">Short-start ESSRRP resources are not committed before the day-ahead market and will not submit day-ahead offers but instead may offer into the real-time market when the CISO BAA or other California BAs declare an EEA Watch or more severe EEA conditions. </w:t>
      </w:r>
    </w:p>
    <w:p w14:paraId="3A595DBE" w14:textId="77777777" w:rsidR="00C5363F" w:rsidRPr="00C5363F" w:rsidRDefault="00C5363F" w:rsidP="00F22128">
      <w:pPr>
        <w:pStyle w:val="BPM3"/>
      </w:pPr>
      <w:r w:rsidRPr="00C5363F">
        <w:t>Curing potential reliability concerns to the extent CISO BAA system operations determines they are correlated with upward RSE shortfalls</w:t>
      </w:r>
    </w:p>
    <w:p w14:paraId="116E13A0" w14:textId="77777777" w:rsidR="00C5363F" w:rsidRPr="00C5363F" w:rsidRDefault="00C5363F" w:rsidP="00C5363F">
      <w:pPr>
        <w:ind w:left="1440"/>
        <w:rPr>
          <w:rFonts w:ascii="Arial" w:hAnsi="Arial" w:cs="Arial"/>
        </w:rPr>
      </w:pPr>
      <w:r w:rsidRPr="00C5363F">
        <w:rPr>
          <w:rFonts w:ascii="Arial" w:hAnsi="Arial" w:cs="Arial"/>
        </w:rPr>
        <w:t xml:space="preserve">If by 9 a.m. the CISO BAA expects an upward RSE shortfall that reveals threats to system reliability, the CISO BAA may use its existing Exceptional Dispatch authority.  </w:t>
      </w:r>
    </w:p>
    <w:p w14:paraId="46F38D2F" w14:textId="77777777" w:rsidR="00C5363F" w:rsidRPr="00C5363F" w:rsidRDefault="00C5363F" w:rsidP="00C5363F">
      <w:pPr>
        <w:ind w:left="1440"/>
        <w:rPr>
          <w:rFonts w:ascii="Arial" w:hAnsi="Arial" w:cs="Arial"/>
        </w:rPr>
      </w:pPr>
      <w:r w:rsidRPr="00C5363F">
        <w:rPr>
          <w:rFonts w:ascii="Arial" w:hAnsi="Arial" w:cs="Arial"/>
        </w:rPr>
        <w:t xml:space="preserve">The CISO BAA will utilize its Exceptional Dispatch authority when it determines that the EDAM RSE shortfall is indicative of the CISO BAA potentially not having a reliable next-day operating plan, with the hour-by-hour results providing an additional reliability indicator available to BA system operators as they exercise their existing discretionary authority to resolve potential reliability problems.  The CISO BAA is not altering its existing Exceptional Dispatch authority or practices but affirming use of that authority when reliability indicates and the CISO BAA expects an upward RSE failure at 10 a.m.   Other EDAM BAAs may utilize a similar process of Manual Dispatch and adapting the steps below.  </w:t>
      </w:r>
    </w:p>
    <w:p w14:paraId="087C166D" w14:textId="77777777" w:rsidR="00C5363F" w:rsidRPr="00C5363F" w:rsidRDefault="00C5363F" w:rsidP="00C5363F">
      <w:pPr>
        <w:spacing w:line="360" w:lineRule="auto"/>
        <w:ind w:left="1080"/>
        <w:rPr>
          <w:rFonts w:ascii="Arial" w:hAnsi="Arial" w:cs="Arial"/>
          <w:u w:val="single"/>
        </w:rPr>
      </w:pPr>
      <w:r w:rsidRPr="00C5363F">
        <w:rPr>
          <w:rFonts w:ascii="Arial" w:hAnsi="Arial" w:cs="Arial"/>
          <w:u w:val="single"/>
        </w:rPr>
        <w:t>Process to Create a Day Ahead Exceptional Dispatch</w:t>
      </w:r>
    </w:p>
    <w:p w14:paraId="1B74F89D" w14:textId="77777777" w:rsidR="00C5363F" w:rsidRPr="00C5363F" w:rsidRDefault="00C5363F" w:rsidP="00C5363F">
      <w:pPr>
        <w:ind w:left="1440"/>
        <w:rPr>
          <w:rFonts w:ascii="Arial" w:hAnsi="Arial" w:cs="Arial"/>
        </w:rPr>
      </w:pPr>
      <w:r w:rsidRPr="00C5363F">
        <w:rPr>
          <w:rFonts w:ascii="Arial" w:hAnsi="Arial" w:cs="Arial"/>
          <w:u w:val="single"/>
        </w:rPr>
        <w:t>Prior to 9:00 a.m.:</w:t>
      </w:r>
      <w:r w:rsidRPr="00C5363F">
        <w:rPr>
          <w:rFonts w:ascii="Arial" w:hAnsi="Arial" w:cs="Arial"/>
        </w:rPr>
        <w:t xml:space="preserve"> the CISO BAA will determine if it may utilize its existing Exceptional Dispatch authority and procedures to respond by providing the Market Operator with the resource, MWs and timing requirements.</w:t>
      </w:r>
      <w:r w:rsidRPr="00C5363F">
        <w:rPr>
          <w:rStyle w:val="FootnoteReference"/>
          <w:rFonts w:ascii="Arial" w:hAnsi="Arial" w:cs="Arial"/>
        </w:rPr>
        <w:footnoteReference w:id="19"/>
      </w:r>
    </w:p>
    <w:p w14:paraId="71726E88" w14:textId="77777777" w:rsidR="00C5363F" w:rsidRPr="00C5363F" w:rsidRDefault="00C5363F" w:rsidP="00C5363F">
      <w:pPr>
        <w:ind w:left="1440"/>
        <w:rPr>
          <w:rFonts w:ascii="Arial" w:hAnsi="Arial" w:cs="Arial"/>
        </w:rPr>
      </w:pPr>
      <w:r w:rsidRPr="00C5363F">
        <w:rPr>
          <w:rFonts w:ascii="Arial" w:hAnsi="Arial" w:cs="Arial"/>
          <w:u w:val="single"/>
        </w:rPr>
        <w:t>Before the Day Ahead execution:</w:t>
      </w:r>
      <w:r w:rsidRPr="00C5363F">
        <w:rPr>
          <w:rFonts w:ascii="Arial" w:hAnsi="Arial" w:cs="Arial"/>
        </w:rPr>
        <w:t xml:space="preserve"> the market operator will use the MOC tool to commit this resource as an Exceptional Dispatch with a single-resource MOC of matching MWs and time frame.  The market operator will confirm completion of any instructions.  </w:t>
      </w:r>
    </w:p>
    <w:p w14:paraId="65092D08" w14:textId="700E05E8" w:rsidR="00C5363F" w:rsidRDefault="00C5363F">
      <w:pPr>
        <w:rPr>
          <w:rFonts w:ascii="Arial" w:hAnsi="Arial" w:cs="Arial"/>
        </w:rPr>
      </w:pPr>
      <w:r>
        <w:rPr>
          <w:rFonts w:ascii="Arial" w:hAnsi="Arial" w:cs="Arial"/>
        </w:rPr>
        <w:br w:type="page"/>
      </w:r>
    </w:p>
    <w:p w14:paraId="0E48F577" w14:textId="579A9D79" w:rsidR="00382E42" w:rsidRPr="00D81D29" w:rsidRDefault="00EC79C0" w:rsidP="00D81D29">
      <w:pPr>
        <w:pStyle w:val="Heading1"/>
        <w:numPr>
          <w:ilvl w:val="0"/>
          <w:numId w:val="151"/>
        </w:numPr>
        <w:rPr>
          <w:rFonts w:ascii="Arial" w:hAnsi="Arial" w:cs="Arial"/>
        </w:rPr>
      </w:pPr>
      <w:bookmarkStart w:id="293" w:name="_Toc228963761"/>
      <w:r w:rsidRPr="00D81D29">
        <w:rPr>
          <w:rFonts w:ascii="Arial" w:hAnsi="Arial" w:cs="Arial"/>
        </w:rPr>
        <w:lastRenderedPageBreak/>
        <w:t>A</w:t>
      </w:r>
      <w:r w:rsidR="00E67016">
        <w:rPr>
          <w:rFonts w:ascii="Arial" w:hAnsi="Arial" w:cs="Arial"/>
        </w:rPr>
        <w:t>ppendix</w:t>
      </w:r>
      <w:r w:rsidRPr="00D81D29">
        <w:rPr>
          <w:rFonts w:ascii="Arial" w:hAnsi="Arial" w:cs="Arial"/>
        </w:rPr>
        <w:t xml:space="preserve"> </w:t>
      </w:r>
      <w:r w:rsidR="00E0313E">
        <w:rPr>
          <w:rFonts w:ascii="Arial" w:hAnsi="Arial" w:cs="Arial"/>
        </w:rPr>
        <w:t xml:space="preserve">2 </w:t>
      </w:r>
      <w:r w:rsidRPr="00D81D29">
        <w:rPr>
          <w:rFonts w:ascii="Arial" w:hAnsi="Arial" w:cs="Arial"/>
        </w:rPr>
        <w:t>– Operation of the Day-Ahead Market in the EDAM Area</w:t>
      </w:r>
      <w:bookmarkEnd w:id="293"/>
    </w:p>
    <w:p w14:paraId="1FFD8C1B" w14:textId="0BA3B219" w:rsidR="00382E42" w:rsidRPr="00746F54" w:rsidRDefault="00382E42" w:rsidP="00474F40">
      <w:pPr>
        <w:pStyle w:val="Heading2"/>
        <w:numPr>
          <w:ilvl w:val="2"/>
          <w:numId w:val="63"/>
        </w:numPr>
        <w:rPr>
          <w:rFonts w:ascii="Arial" w:hAnsi="Arial" w:cs="Arial"/>
        </w:rPr>
      </w:pPr>
      <w:bookmarkStart w:id="294" w:name="_Toc211338006"/>
      <w:bookmarkStart w:id="295" w:name="_Toc228963762"/>
      <w:r w:rsidRPr="00746F54">
        <w:rPr>
          <w:rFonts w:ascii="Arial" w:hAnsi="Arial" w:cs="Arial"/>
        </w:rPr>
        <w:t>D4/2/1 Process Summary</w:t>
      </w:r>
      <w:bookmarkEnd w:id="294"/>
      <w:bookmarkEnd w:id="295"/>
    </w:p>
    <w:p w14:paraId="5CF4B249" w14:textId="77777777" w:rsidR="00382E42" w:rsidRPr="00746F54" w:rsidRDefault="00382E42" w:rsidP="00382E42">
      <w:pPr>
        <w:rPr>
          <w:rFonts w:ascii="Arial" w:hAnsi="Arial" w:cs="Arial"/>
        </w:rPr>
      </w:pPr>
      <w:r w:rsidRPr="00746F54">
        <w:rPr>
          <w:rFonts w:ascii="Arial" w:hAnsi="Arial" w:cs="Arial"/>
        </w:rPr>
        <w:t>Terms:</w:t>
      </w:r>
    </w:p>
    <w:p w14:paraId="3268897D" w14:textId="77777777" w:rsidR="00382E42" w:rsidRPr="00746F54" w:rsidRDefault="00382E42" w:rsidP="00382E42">
      <w:pPr>
        <w:rPr>
          <w:rFonts w:ascii="Arial" w:hAnsi="Arial" w:cs="Arial"/>
        </w:rPr>
      </w:pPr>
      <w:r w:rsidRPr="00746F54">
        <w:rPr>
          <w:rFonts w:ascii="Arial" w:hAnsi="Arial" w:cs="Arial"/>
        </w:rPr>
        <w:t xml:space="preserve">D1- “Day One” - EDAM run for tomorrow’s trade date.  D1 market closes at 10am, execution performed from 1000-1300, D1 results posted at 1300 per the Tariff.  </w:t>
      </w:r>
    </w:p>
    <w:p w14:paraId="6F6F5A9F" w14:textId="71186F93" w:rsidR="00382E42" w:rsidRPr="00746F54" w:rsidRDefault="00382E42" w:rsidP="00382E42">
      <w:pPr>
        <w:rPr>
          <w:rFonts w:ascii="Arial" w:hAnsi="Arial" w:cs="Arial"/>
        </w:rPr>
      </w:pPr>
      <w:r w:rsidRPr="00746F54">
        <w:rPr>
          <w:rFonts w:ascii="Arial" w:hAnsi="Arial" w:cs="Arial"/>
        </w:rPr>
        <w:t>D2 “Day Two” – EDAM run for two trade dates in the future.  D2 execution begins immediately following completion of the D1 market execution with results target to be posted by 1</w:t>
      </w:r>
      <w:r w:rsidR="00965F60" w:rsidRPr="00746F54">
        <w:rPr>
          <w:rFonts w:ascii="Arial" w:hAnsi="Arial" w:cs="Arial"/>
        </w:rPr>
        <w:t>7</w:t>
      </w:r>
      <w:r w:rsidRPr="00746F54">
        <w:rPr>
          <w:rFonts w:ascii="Arial" w:hAnsi="Arial" w:cs="Arial"/>
        </w:rPr>
        <w:t>00.</w:t>
      </w:r>
    </w:p>
    <w:p w14:paraId="4B31F535" w14:textId="77777777" w:rsidR="0055667D" w:rsidRPr="00746F54" w:rsidRDefault="00382E42" w:rsidP="00382E42">
      <w:pPr>
        <w:rPr>
          <w:rFonts w:ascii="Arial" w:hAnsi="Arial" w:cs="Arial"/>
        </w:rPr>
      </w:pPr>
      <w:r w:rsidRPr="00746F54">
        <w:rPr>
          <w:rFonts w:ascii="Arial" w:hAnsi="Arial" w:cs="Arial"/>
        </w:rPr>
        <w:t xml:space="preserve">D4 “Day Four” – EDAM run for four trade dates in the future.  </w:t>
      </w:r>
    </w:p>
    <w:p w14:paraId="1DF47A47" w14:textId="373018BE" w:rsidR="00382E42" w:rsidRPr="00746F54" w:rsidRDefault="00382E42" w:rsidP="00382E42">
      <w:pPr>
        <w:rPr>
          <w:rFonts w:ascii="Arial" w:hAnsi="Arial" w:cs="Arial"/>
        </w:rPr>
      </w:pPr>
      <w:r w:rsidRPr="00746F54">
        <w:rPr>
          <w:rFonts w:ascii="Arial" w:hAnsi="Arial" w:cs="Arial"/>
        </w:rPr>
        <w:t>Note: since this run is executed after normal business hours on D4, the intent is to provide results for review during normal business hours on D3.  For the EDAM participant D4 is operationally a D3 run, as it is not expected to be reviewed outside of business hours.</w:t>
      </w:r>
    </w:p>
    <w:p w14:paraId="560105A2" w14:textId="6F414AA1" w:rsidR="00557E80" w:rsidRPr="00746F54" w:rsidRDefault="00557E80" w:rsidP="00382E42">
      <w:pPr>
        <w:rPr>
          <w:rFonts w:ascii="Arial" w:hAnsi="Arial" w:cs="Arial"/>
        </w:rPr>
      </w:pPr>
      <w:r w:rsidRPr="00746F54">
        <w:rPr>
          <w:rFonts w:ascii="Arial" w:hAnsi="Arial" w:cs="Arial"/>
          <w:noProof/>
        </w:rPr>
        <w:drawing>
          <wp:inline distT="0" distB="0" distL="0" distR="0" wp14:anchorId="36D8F7E7" wp14:editId="5E85076D">
            <wp:extent cx="5943600" cy="3044190"/>
            <wp:effectExtent l="0" t="0" r="0" b="3810"/>
            <wp:docPr id="959549081" name="Picture 1" descr="A diagram of a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34465" name="Picture 1" descr="A diagram of a market&#10;&#10;AI-generated content may be incorrect."/>
                    <pic:cNvPicPr/>
                  </pic:nvPicPr>
                  <pic:blipFill>
                    <a:blip r:embed="rId28"/>
                    <a:stretch>
                      <a:fillRect/>
                    </a:stretch>
                  </pic:blipFill>
                  <pic:spPr>
                    <a:xfrm>
                      <a:off x="0" y="0"/>
                      <a:ext cx="5943600" cy="3044190"/>
                    </a:xfrm>
                    <a:prstGeom prst="rect">
                      <a:avLst/>
                    </a:prstGeom>
                  </pic:spPr>
                </pic:pic>
              </a:graphicData>
            </a:graphic>
          </wp:inline>
        </w:drawing>
      </w:r>
    </w:p>
    <w:p w14:paraId="7D9F9C6F" w14:textId="77777777" w:rsidR="00557E80" w:rsidRPr="00746F54" w:rsidRDefault="00557E80" w:rsidP="00382E42">
      <w:pPr>
        <w:rPr>
          <w:rFonts w:ascii="Arial" w:hAnsi="Arial" w:cs="Arial"/>
        </w:rPr>
      </w:pPr>
    </w:p>
    <w:p w14:paraId="4703BAA7" w14:textId="77777777" w:rsidR="00382E42" w:rsidRPr="00746F54" w:rsidRDefault="00382E42" w:rsidP="00382E42">
      <w:pPr>
        <w:rPr>
          <w:rFonts w:ascii="Arial" w:hAnsi="Arial" w:cs="Arial"/>
          <w:b/>
          <w:bCs/>
        </w:rPr>
      </w:pPr>
      <w:r w:rsidRPr="00746F54">
        <w:rPr>
          <w:rFonts w:ascii="Arial" w:hAnsi="Arial" w:cs="Arial"/>
          <w:b/>
          <w:bCs/>
        </w:rPr>
        <w:t>Iterative Process</w:t>
      </w:r>
    </w:p>
    <w:p w14:paraId="751C6FBB" w14:textId="18D95938" w:rsidR="00382E42" w:rsidRPr="00746F54" w:rsidRDefault="00382E42" w:rsidP="00382E42">
      <w:pPr>
        <w:rPr>
          <w:rFonts w:ascii="Arial" w:hAnsi="Arial" w:cs="Arial"/>
        </w:rPr>
      </w:pPr>
      <w:r w:rsidRPr="00746F54">
        <w:rPr>
          <w:rFonts w:ascii="Arial" w:hAnsi="Arial" w:cs="Arial"/>
        </w:rPr>
        <w:t xml:space="preserve">The EDAM follows an iterative execution approach, allowing EDAM entities to adjust inputs between D4, D2 and D1 runs to get a valid and correct outcome.  The primary responsibility for market </w:t>
      </w:r>
      <w:proofErr w:type="gramStart"/>
      <w:r w:rsidRPr="00746F54">
        <w:rPr>
          <w:rFonts w:ascii="Arial" w:hAnsi="Arial" w:cs="Arial"/>
        </w:rPr>
        <w:t>inputs</w:t>
      </w:r>
      <w:proofErr w:type="gramEnd"/>
      <w:r w:rsidRPr="00746F54">
        <w:rPr>
          <w:rFonts w:ascii="Arial" w:hAnsi="Arial" w:cs="Arial"/>
        </w:rPr>
        <w:t xml:space="preserve"> is placed on the EDAM entities, with the market operator acting in a supporting role to provide technical input on constraint enforcement as well as a coordination function between EDAM entities.  Prior to the D4 market run the EDAM entity should review their </w:t>
      </w:r>
      <w:r w:rsidRPr="00746F54">
        <w:rPr>
          <w:rFonts w:ascii="Arial" w:hAnsi="Arial" w:cs="Arial"/>
        </w:rPr>
        <w:lastRenderedPageBreak/>
        <w:t xml:space="preserve">upcoming outage cards and update the activated constraints to match expected conditions based on their procedures, studies, and knowledge of their system.  As the trade date becomes closer, inputs such as load and VER forecasts become more accurate, as well as transmission and resource availability.  The table below shows the general timeline of the D4-D1 EDAM runs.  Note that the D3 run is completed </w:t>
      </w:r>
      <w:proofErr w:type="gramStart"/>
      <w:r w:rsidRPr="00746F54">
        <w:rPr>
          <w:rFonts w:ascii="Arial" w:hAnsi="Arial" w:cs="Arial"/>
        </w:rPr>
        <w:t>in order to</w:t>
      </w:r>
      <w:proofErr w:type="gramEnd"/>
      <w:r w:rsidRPr="00746F54">
        <w:rPr>
          <w:rFonts w:ascii="Arial" w:hAnsi="Arial" w:cs="Arial"/>
        </w:rPr>
        <w:t xml:space="preserve"> provide the initial conditions of the D4 market run only, and no OPA is provided.</w:t>
      </w:r>
    </w:p>
    <w:p w14:paraId="5EF75BAF" w14:textId="77777777" w:rsidR="00382E42" w:rsidRPr="00746F54" w:rsidRDefault="00382E42" w:rsidP="00382E42">
      <w:pPr>
        <w:rPr>
          <w:rFonts w:ascii="Arial" w:hAnsi="Arial" w:cs="Arial"/>
        </w:rPr>
      </w:pPr>
      <w:r w:rsidRPr="00746F54">
        <w:rPr>
          <w:rFonts w:ascii="Arial" w:hAnsi="Arial" w:cs="Arial"/>
        </w:rPr>
        <w:t>Example Trade Date March 18</w:t>
      </w:r>
    </w:p>
    <w:p w14:paraId="52852110" w14:textId="77777777" w:rsidR="00382E42" w:rsidRPr="00746F54" w:rsidRDefault="00382E42" w:rsidP="00382E42">
      <w:pPr>
        <w:jc w:val="center"/>
        <w:rPr>
          <w:rFonts w:ascii="Arial" w:hAnsi="Arial" w:cs="Arial"/>
        </w:rPr>
      </w:pPr>
      <w:r w:rsidRPr="00746F54">
        <w:rPr>
          <w:rFonts w:ascii="Arial" w:hAnsi="Arial" w:cs="Arial"/>
          <w:noProof/>
        </w:rPr>
        <w:drawing>
          <wp:inline distT="0" distB="0" distL="0" distR="0" wp14:anchorId="367F11E3" wp14:editId="43DDF427">
            <wp:extent cx="5000625" cy="2867025"/>
            <wp:effectExtent l="0" t="0" r="9525" b="9525"/>
            <wp:docPr id="1647421330" name="Picture 1" descr="A calendar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21330" name="Picture 1" descr="A calendar with text and numbers&#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00625" cy="2867025"/>
                    </a:xfrm>
                    <a:prstGeom prst="rect">
                      <a:avLst/>
                    </a:prstGeom>
                    <a:noFill/>
                    <a:ln>
                      <a:noFill/>
                    </a:ln>
                  </pic:spPr>
                </pic:pic>
              </a:graphicData>
            </a:graphic>
          </wp:inline>
        </w:drawing>
      </w:r>
    </w:p>
    <w:p w14:paraId="58525082" w14:textId="77777777" w:rsidR="00382E42" w:rsidRPr="00746F54" w:rsidRDefault="00382E42" w:rsidP="00B9516F">
      <w:pPr>
        <w:spacing w:line="360" w:lineRule="auto"/>
        <w:rPr>
          <w:rFonts w:ascii="Arial" w:hAnsi="Arial" w:cs="Arial"/>
        </w:rPr>
      </w:pPr>
      <w:r w:rsidRPr="00746F54">
        <w:rPr>
          <w:rFonts w:ascii="Arial" w:hAnsi="Arial" w:cs="Arial"/>
        </w:rPr>
        <w:t>All market run timelines are subject to change based on the D1 market run timing.  The start time of each market run is dependent on the completion of the previous trade date solution for initial conditions.</w:t>
      </w:r>
    </w:p>
    <w:p w14:paraId="68E76211" w14:textId="77777777" w:rsidR="00382E42" w:rsidRPr="00746F54" w:rsidRDefault="00382E42" w:rsidP="00B9516F">
      <w:pPr>
        <w:spacing w:line="360" w:lineRule="auto"/>
        <w:rPr>
          <w:rFonts w:ascii="Arial" w:hAnsi="Arial" w:cs="Arial"/>
        </w:rPr>
      </w:pPr>
      <w:r w:rsidRPr="00746F54">
        <w:rPr>
          <w:rFonts w:ascii="Arial" w:hAnsi="Arial" w:cs="Arial"/>
        </w:rPr>
        <w:t>EDAM entities should review the outputs of each market run to adjust their respective inputs and make each run of a given trade date more accurate.  The main outputs that may trigger additional review are disconnected resources, unexpected high prices, and infeasibilities.</w:t>
      </w:r>
    </w:p>
    <w:p w14:paraId="54C639B2" w14:textId="5D6CA772" w:rsidR="00AD0AEE" w:rsidRPr="00746F54" w:rsidRDefault="00AD0AEE" w:rsidP="00B9516F">
      <w:pPr>
        <w:pStyle w:val="Heading2"/>
        <w:numPr>
          <w:ilvl w:val="2"/>
          <w:numId w:val="63"/>
        </w:numPr>
        <w:rPr>
          <w:rFonts w:ascii="Arial" w:hAnsi="Arial" w:cs="Arial"/>
        </w:rPr>
      </w:pPr>
      <w:bookmarkStart w:id="296" w:name="_Toc211338007"/>
      <w:bookmarkStart w:id="297" w:name="_Toc228963763"/>
      <w:r w:rsidRPr="00746F54">
        <w:rPr>
          <w:rFonts w:ascii="Arial" w:hAnsi="Arial" w:cs="Arial"/>
        </w:rPr>
        <w:t>Centralized and Coordinated Constraint Management Process</w:t>
      </w:r>
      <w:bookmarkEnd w:id="296"/>
      <w:bookmarkEnd w:id="297"/>
    </w:p>
    <w:p w14:paraId="2F89B72B" w14:textId="05464EAF" w:rsidR="00AD0AEE" w:rsidRPr="00746F54" w:rsidRDefault="00AD0AEE" w:rsidP="00B9516F">
      <w:pPr>
        <w:spacing w:line="360" w:lineRule="auto"/>
        <w:rPr>
          <w:rFonts w:ascii="Arial" w:hAnsi="Arial" w:cs="Arial"/>
          <w:b/>
          <w:bCs/>
        </w:rPr>
      </w:pPr>
      <w:r w:rsidRPr="00746F54">
        <w:rPr>
          <w:rFonts w:ascii="Arial" w:hAnsi="Arial" w:cs="Arial"/>
        </w:rPr>
        <w:t xml:space="preserve">The Centralized and Coordinated Constraint Management (CCCM) process </w:t>
      </w:r>
      <w:r w:rsidR="00A21524" w:rsidRPr="00746F54">
        <w:rPr>
          <w:rFonts w:ascii="Arial" w:hAnsi="Arial" w:cs="Arial"/>
        </w:rPr>
        <w:t>is executed by</w:t>
      </w:r>
      <w:r w:rsidRPr="00746F54">
        <w:rPr>
          <w:rFonts w:ascii="Arial" w:hAnsi="Arial" w:cs="Arial"/>
        </w:rPr>
        <w:t xml:space="preserve"> the </w:t>
      </w:r>
      <w:r w:rsidR="00584C03" w:rsidRPr="00746F54">
        <w:rPr>
          <w:rFonts w:ascii="Arial" w:hAnsi="Arial" w:cs="Arial"/>
        </w:rPr>
        <w:t>market operator</w:t>
      </w:r>
      <w:r w:rsidR="00A21524" w:rsidRPr="00746F54">
        <w:rPr>
          <w:rFonts w:ascii="Arial" w:hAnsi="Arial" w:cs="Arial"/>
        </w:rPr>
        <w:t xml:space="preserve"> and coordinated with EDAM entities through the iterative market runs</w:t>
      </w:r>
      <w:r w:rsidRPr="00746F54">
        <w:rPr>
          <w:rFonts w:ascii="Arial" w:hAnsi="Arial" w:cs="Arial"/>
        </w:rPr>
        <w:t xml:space="preserve">. </w:t>
      </w:r>
      <w:r w:rsidR="00E409D5" w:rsidRPr="00746F54">
        <w:rPr>
          <w:rFonts w:ascii="Arial" w:hAnsi="Arial" w:cs="Arial"/>
        </w:rPr>
        <w:t xml:space="preserve">This ensures proper market constraint </w:t>
      </w:r>
      <w:proofErr w:type="gramStart"/>
      <w:r w:rsidR="00E409D5" w:rsidRPr="00746F54">
        <w:rPr>
          <w:rFonts w:ascii="Arial" w:hAnsi="Arial" w:cs="Arial"/>
        </w:rPr>
        <w:t>setup</w:t>
      </w:r>
      <w:proofErr w:type="gramEnd"/>
      <w:r w:rsidR="00E409D5" w:rsidRPr="00746F54">
        <w:rPr>
          <w:rFonts w:ascii="Arial" w:hAnsi="Arial" w:cs="Arial"/>
        </w:rPr>
        <w:t xml:space="preserve"> as well as reasonable market performance based on pre-defined market run timelines. </w:t>
      </w:r>
      <w:r w:rsidRPr="00746F54">
        <w:rPr>
          <w:rFonts w:ascii="Arial" w:hAnsi="Arial" w:cs="Arial"/>
        </w:rPr>
        <w:t>This process relies on the OPA results</w:t>
      </w:r>
      <w:r w:rsidR="00A21524" w:rsidRPr="00746F54">
        <w:rPr>
          <w:rFonts w:ascii="Arial" w:hAnsi="Arial" w:cs="Arial"/>
        </w:rPr>
        <w:t>,</w:t>
      </w:r>
      <w:r w:rsidR="00FA0B7D" w:rsidRPr="00746F54">
        <w:rPr>
          <w:rFonts w:ascii="Arial" w:hAnsi="Arial" w:cs="Arial"/>
        </w:rPr>
        <w:t xml:space="preserve"> EDAM</w:t>
      </w:r>
      <w:r w:rsidR="00A21524" w:rsidRPr="00746F54">
        <w:rPr>
          <w:rFonts w:ascii="Arial" w:hAnsi="Arial" w:cs="Arial"/>
        </w:rPr>
        <w:t xml:space="preserve"> </w:t>
      </w:r>
      <w:r w:rsidR="00FA0B7D" w:rsidRPr="00746F54">
        <w:rPr>
          <w:rFonts w:ascii="Arial" w:hAnsi="Arial" w:cs="Arial"/>
        </w:rPr>
        <w:t>entity outage constraint requests</w:t>
      </w:r>
      <w:r w:rsidR="00A21524" w:rsidRPr="00746F54">
        <w:rPr>
          <w:rFonts w:ascii="Arial" w:hAnsi="Arial" w:cs="Arial"/>
        </w:rPr>
        <w:t xml:space="preserve"> and recent real time contingency analysis</w:t>
      </w:r>
      <w:r w:rsidRPr="00746F54">
        <w:rPr>
          <w:rFonts w:ascii="Arial" w:hAnsi="Arial" w:cs="Arial"/>
        </w:rPr>
        <w:t xml:space="preserve"> results</w:t>
      </w:r>
      <w:r w:rsidR="00FA0B7D" w:rsidRPr="00746F54">
        <w:rPr>
          <w:rFonts w:ascii="Arial" w:hAnsi="Arial" w:cs="Arial"/>
        </w:rPr>
        <w:t xml:space="preserve"> </w:t>
      </w:r>
      <w:r w:rsidRPr="00746F54">
        <w:rPr>
          <w:rFonts w:ascii="Arial" w:hAnsi="Arial" w:cs="Arial"/>
        </w:rPr>
        <w:t xml:space="preserve">to generate a list of </w:t>
      </w:r>
      <w:r w:rsidRPr="00746F54">
        <w:rPr>
          <w:rFonts w:ascii="Arial" w:hAnsi="Arial" w:cs="Arial"/>
        </w:rPr>
        <w:lastRenderedPageBreak/>
        <w:t xml:space="preserve">constraints that are recommended for activation or deactivation in subsequent market runs. </w:t>
      </w:r>
      <w:r w:rsidR="00FA0B7D" w:rsidRPr="00746F54">
        <w:rPr>
          <w:rFonts w:ascii="Arial" w:hAnsi="Arial" w:cs="Arial"/>
        </w:rPr>
        <w:t xml:space="preserve">There </w:t>
      </w:r>
      <w:r w:rsidR="003F76EC" w:rsidRPr="00746F54">
        <w:rPr>
          <w:rFonts w:ascii="Arial" w:hAnsi="Arial" w:cs="Arial"/>
        </w:rPr>
        <w:t>are</w:t>
      </w:r>
      <w:r w:rsidR="00FA0B7D" w:rsidRPr="00746F54">
        <w:rPr>
          <w:rFonts w:ascii="Arial" w:hAnsi="Arial" w:cs="Arial"/>
        </w:rPr>
        <w:t xml:space="preserve"> no predefined constraint limits for each EDAM entities in this process. Each constraint is </w:t>
      </w:r>
      <w:r w:rsidR="00D2528E" w:rsidRPr="00746F54">
        <w:rPr>
          <w:rFonts w:ascii="Arial" w:hAnsi="Arial" w:cs="Arial"/>
        </w:rPr>
        <w:t>ranked</w:t>
      </w:r>
      <w:r w:rsidR="00FA0B7D" w:rsidRPr="00746F54">
        <w:rPr>
          <w:rFonts w:ascii="Arial" w:hAnsi="Arial" w:cs="Arial"/>
        </w:rPr>
        <w:t xml:space="preserve"> by the </w:t>
      </w:r>
      <w:r w:rsidR="00584C03" w:rsidRPr="00746F54">
        <w:rPr>
          <w:rFonts w:ascii="Arial" w:hAnsi="Arial" w:cs="Arial"/>
        </w:rPr>
        <w:t>market operator</w:t>
      </w:r>
      <w:r w:rsidR="00FA0B7D" w:rsidRPr="00746F54">
        <w:rPr>
          <w:rFonts w:ascii="Arial" w:hAnsi="Arial" w:cs="Arial"/>
        </w:rPr>
        <w:t xml:space="preserve"> with weighted system for agreed upon criterion. </w:t>
      </w:r>
      <w:r w:rsidRPr="00746F54">
        <w:rPr>
          <w:rFonts w:ascii="Arial" w:hAnsi="Arial" w:cs="Arial"/>
        </w:rPr>
        <w:t xml:space="preserve">If action is recommended by the </w:t>
      </w:r>
      <w:r w:rsidR="00584C03" w:rsidRPr="00746F54">
        <w:rPr>
          <w:rFonts w:ascii="Arial" w:hAnsi="Arial" w:cs="Arial"/>
        </w:rPr>
        <w:t>market operator</w:t>
      </w:r>
      <w:r w:rsidRPr="00746F54">
        <w:rPr>
          <w:rFonts w:ascii="Arial" w:hAnsi="Arial" w:cs="Arial"/>
        </w:rPr>
        <w:t xml:space="preserve"> through this process they will coordinate with the EDAM entities .  </w:t>
      </w:r>
    </w:p>
    <w:p w14:paraId="0FAA1406" w14:textId="43FCE47F" w:rsidR="00382E42" w:rsidRPr="00746F54" w:rsidRDefault="00382E42" w:rsidP="00B9516F">
      <w:pPr>
        <w:pStyle w:val="Style1"/>
        <w:numPr>
          <w:ilvl w:val="0"/>
          <w:numId w:val="0"/>
        </w:numPr>
        <w:ind w:left="1080" w:hanging="1080"/>
        <w:rPr>
          <w:rFonts w:ascii="Arial" w:hAnsi="Arial"/>
        </w:rPr>
      </w:pPr>
      <w:r w:rsidRPr="00746F54">
        <w:rPr>
          <w:rFonts w:ascii="Arial" w:hAnsi="Arial"/>
        </w:rPr>
        <w:t xml:space="preserve">Standard Run Process </w:t>
      </w:r>
    </w:p>
    <w:p w14:paraId="0ACEE899" w14:textId="4D4023FE" w:rsidR="00382E42" w:rsidRPr="00746F54" w:rsidRDefault="00382E42" w:rsidP="00B9516F">
      <w:pPr>
        <w:spacing w:line="360" w:lineRule="auto"/>
        <w:rPr>
          <w:rFonts w:ascii="Arial" w:hAnsi="Arial" w:cs="Arial"/>
        </w:rPr>
      </w:pPr>
      <w:r w:rsidRPr="00746F54">
        <w:rPr>
          <w:rFonts w:ascii="Arial" w:hAnsi="Arial" w:cs="Arial"/>
        </w:rPr>
        <w:t>The following outputs are consistent across all market runs.  This section lists actions that may be taken by the EDAM entity and market operator based on the results of the D4/D2/D1 market runs.</w:t>
      </w:r>
    </w:p>
    <w:p w14:paraId="3EBDF4D2" w14:textId="694D48DE" w:rsidR="00382E42" w:rsidRPr="00746F54" w:rsidRDefault="00382E42" w:rsidP="00B9516F">
      <w:pPr>
        <w:pStyle w:val="ListParagraph"/>
        <w:numPr>
          <w:ilvl w:val="0"/>
          <w:numId w:val="86"/>
        </w:numPr>
        <w:spacing w:line="360" w:lineRule="auto"/>
        <w:contextualSpacing/>
        <w:rPr>
          <w:rFonts w:ascii="Arial" w:hAnsi="Arial" w:cs="Arial"/>
        </w:rPr>
      </w:pPr>
      <w:r w:rsidRPr="00746F54">
        <w:rPr>
          <w:rFonts w:ascii="Arial" w:hAnsi="Arial" w:cs="Arial"/>
        </w:rPr>
        <w:t xml:space="preserve">For disconnected resources, </w:t>
      </w:r>
      <w:r w:rsidR="00187DC9" w:rsidRPr="00746F54">
        <w:rPr>
          <w:rFonts w:ascii="Arial" w:hAnsi="Arial" w:cs="Arial"/>
        </w:rPr>
        <w:t>a</w:t>
      </w:r>
      <w:r w:rsidRPr="00746F54">
        <w:rPr>
          <w:rFonts w:ascii="Arial" w:hAnsi="Arial" w:cs="Arial"/>
        </w:rPr>
        <w:t>fter each D4 market run, the market operator will review all disconnected resources within the EDAM footprint that do not have an associated generator outage card in OMS</w:t>
      </w:r>
      <w:r w:rsidR="00187DC9" w:rsidRPr="00746F54">
        <w:rPr>
          <w:rFonts w:ascii="Arial" w:hAnsi="Arial" w:cs="Arial"/>
        </w:rPr>
        <w:t xml:space="preserve"> and notify the EDAM entity for evaluation</w:t>
      </w:r>
      <w:r w:rsidR="00104462" w:rsidRPr="00746F54">
        <w:rPr>
          <w:rFonts w:ascii="Arial" w:hAnsi="Arial" w:cs="Arial"/>
        </w:rPr>
        <w:t xml:space="preserve">. </w:t>
      </w:r>
      <w:r w:rsidRPr="00746F54">
        <w:rPr>
          <w:rFonts w:ascii="Arial" w:hAnsi="Arial" w:cs="Arial"/>
        </w:rPr>
        <w:t xml:space="preserve">The EDAM entity should review OMS outages (transmission and generation) </w:t>
      </w:r>
      <w:r w:rsidR="00104462" w:rsidRPr="00746F54">
        <w:rPr>
          <w:rFonts w:ascii="Arial" w:hAnsi="Arial" w:cs="Arial"/>
        </w:rPr>
        <w:t xml:space="preserve">to ensure the proper modeling </w:t>
      </w:r>
      <w:r w:rsidR="000B3FF5" w:rsidRPr="00746F54">
        <w:rPr>
          <w:rFonts w:ascii="Arial" w:hAnsi="Arial" w:cs="Arial"/>
        </w:rPr>
        <w:t>is reflected in the transmission outage card</w:t>
      </w:r>
      <w:r w:rsidR="0034657B" w:rsidRPr="00746F54">
        <w:rPr>
          <w:rFonts w:ascii="Arial" w:hAnsi="Arial" w:cs="Arial"/>
        </w:rPr>
        <w:t xml:space="preserve"> if modeling error is identified</w:t>
      </w:r>
      <w:r w:rsidR="000B3FF5" w:rsidRPr="00746F54">
        <w:rPr>
          <w:rFonts w:ascii="Arial" w:hAnsi="Arial" w:cs="Arial"/>
        </w:rPr>
        <w:t xml:space="preserve">. If the disconnected resource is </w:t>
      </w:r>
      <w:r w:rsidR="002C4B98" w:rsidRPr="00746F54">
        <w:rPr>
          <w:rFonts w:ascii="Arial" w:hAnsi="Arial" w:cs="Arial"/>
        </w:rPr>
        <w:t>the</w:t>
      </w:r>
      <w:r w:rsidR="000B3FF5" w:rsidRPr="00746F54">
        <w:rPr>
          <w:rFonts w:ascii="Arial" w:hAnsi="Arial" w:cs="Arial"/>
        </w:rPr>
        <w:t xml:space="preserve"> nature </w:t>
      </w:r>
      <w:r w:rsidR="002C4B98" w:rsidRPr="00746F54">
        <w:rPr>
          <w:rFonts w:ascii="Arial" w:hAnsi="Arial" w:cs="Arial"/>
        </w:rPr>
        <w:t>consequence</w:t>
      </w:r>
      <w:r w:rsidR="000B3FF5" w:rsidRPr="00746F54">
        <w:rPr>
          <w:rFonts w:ascii="Arial" w:hAnsi="Arial" w:cs="Arial"/>
        </w:rPr>
        <w:t xml:space="preserve"> of transmission outage, it is the EDAM entity’s responsibility to inform the corresponding generation SC for the electric disconnect</w:t>
      </w:r>
      <w:r w:rsidR="005470AB" w:rsidRPr="00746F54">
        <w:rPr>
          <w:rFonts w:ascii="Arial" w:hAnsi="Arial" w:cs="Arial"/>
        </w:rPr>
        <w:t>ion</w:t>
      </w:r>
      <w:r w:rsidR="000B3FF5" w:rsidRPr="00746F54">
        <w:rPr>
          <w:rFonts w:ascii="Arial" w:hAnsi="Arial" w:cs="Arial"/>
        </w:rPr>
        <w:t xml:space="preserve"> for the expected timeframe. </w:t>
      </w:r>
    </w:p>
    <w:p w14:paraId="186601D2" w14:textId="4B9E9361" w:rsidR="00382E42" w:rsidRPr="00746F54" w:rsidRDefault="00382E42" w:rsidP="00B9516F">
      <w:pPr>
        <w:pStyle w:val="ListParagraph"/>
        <w:numPr>
          <w:ilvl w:val="0"/>
          <w:numId w:val="86"/>
        </w:numPr>
        <w:spacing w:line="360" w:lineRule="auto"/>
        <w:contextualSpacing/>
        <w:rPr>
          <w:rFonts w:ascii="Arial" w:hAnsi="Arial" w:cs="Arial"/>
        </w:rPr>
      </w:pPr>
      <w:r w:rsidRPr="00746F54">
        <w:rPr>
          <w:rFonts w:ascii="Arial" w:hAnsi="Arial" w:cs="Arial"/>
        </w:rPr>
        <w:t xml:space="preserve">Unexpected high prices due to congestion may necessitate investigation by the EDAM entity and market operator, as these may indicate an issue with the inputs to the D4 run.  The prices may be caused by invalid congestion due to incorrect transmission modeling, incorrect resource availability (bid, forecast, or OMS data), incorrect </w:t>
      </w:r>
      <w:proofErr w:type="spellStart"/>
      <w:r w:rsidRPr="00746F54">
        <w:rPr>
          <w:rFonts w:ascii="Arial" w:hAnsi="Arial" w:cs="Arial"/>
        </w:rPr>
        <w:t>flowgate</w:t>
      </w:r>
      <w:proofErr w:type="spellEnd"/>
      <w:r w:rsidRPr="00746F54">
        <w:rPr>
          <w:rFonts w:ascii="Arial" w:hAnsi="Arial" w:cs="Arial"/>
        </w:rPr>
        <w:t xml:space="preserve"> or contingency enforcement, incorrect conformance on a </w:t>
      </w:r>
      <w:proofErr w:type="spellStart"/>
      <w:r w:rsidRPr="00746F54">
        <w:rPr>
          <w:rFonts w:ascii="Arial" w:hAnsi="Arial" w:cs="Arial"/>
        </w:rPr>
        <w:t>flowgate</w:t>
      </w:r>
      <w:proofErr w:type="spellEnd"/>
      <w:r w:rsidRPr="00746F54">
        <w:rPr>
          <w:rFonts w:ascii="Arial" w:hAnsi="Arial" w:cs="Arial"/>
        </w:rPr>
        <w:t xml:space="preserve"> or nomogram, incorrect limits on a transmission element, incorrect contingency modeling, or bad load profiles.  Although it is possible to have invalid congestion due to any of the issues listed above, there may be valid inputs in adjacent areas that the EDAM entity has not considered.  One common cause is a transmission outage in a neighboring BAA that overlaps with an internal transmission outage that </w:t>
      </w:r>
      <w:proofErr w:type="gramStart"/>
      <w:r w:rsidRPr="00746F54">
        <w:rPr>
          <w:rFonts w:ascii="Arial" w:hAnsi="Arial" w:cs="Arial"/>
        </w:rPr>
        <w:t>have</w:t>
      </w:r>
      <w:proofErr w:type="gramEnd"/>
      <w:r w:rsidRPr="00746F54">
        <w:rPr>
          <w:rFonts w:ascii="Arial" w:hAnsi="Arial" w:cs="Arial"/>
        </w:rPr>
        <w:t xml:space="preserve"> a combined effect causing unexpected congestion.  If the EDAM entity is unable to identify the inputs responsible for the unexpected congestion and validate them then they can coordinate with the market operator for additional support.  </w:t>
      </w:r>
    </w:p>
    <w:p w14:paraId="1C608D7D" w14:textId="79D0EC45" w:rsidR="00382E42" w:rsidRPr="00746F54" w:rsidRDefault="00382E42" w:rsidP="00B9516F">
      <w:pPr>
        <w:pStyle w:val="ListParagraph"/>
        <w:numPr>
          <w:ilvl w:val="0"/>
          <w:numId w:val="86"/>
        </w:numPr>
        <w:spacing w:line="360" w:lineRule="auto"/>
        <w:contextualSpacing/>
        <w:rPr>
          <w:rFonts w:ascii="Arial" w:hAnsi="Arial" w:cs="Arial"/>
        </w:rPr>
      </w:pPr>
      <w:r w:rsidRPr="00746F54">
        <w:rPr>
          <w:rFonts w:ascii="Arial" w:hAnsi="Arial" w:cs="Arial"/>
        </w:rPr>
        <w:lastRenderedPageBreak/>
        <w:t xml:space="preserve">Conversely, high loading in the D4 OPA with no accompanying congestion in the market run may indicate that a new constraint needs to be enforced in EDAM for mitigation.  The EDAM entity should review the OPA and identify any valid overloads in their area that require market mitigation and identify the appropriate </w:t>
      </w:r>
      <w:proofErr w:type="spellStart"/>
      <w:r w:rsidRPr="00746F54">
        <w:rPr>
          <w:rFonts w:ascii="Arial" w:hAnsi="Arial" w:cs="Arial"/>
        </w:rPr>
        <w:t>flowgates</w:t>
      </w:r>
      <w:proofErr w:type="spellEnd"/>
      <w:r w:rsidRPr="00746F54">
        <w:rPr>
          <w:rFonts w:ascii="Arial" w:hAnsi="Arial" w:cs="Arial"/>
        </w:rPr>
        <w:t>, contingencies</w:t>
      </w:r>
      <w:r w:rsidR="00741D98" w:rsidRPr="00746F54">
        <w:rPr>
          <w:rFonts w:ascii="Arial" w:hAnsi="Arial" w:cs="Arial"/>
        </w:rPr>
        <w:t xml:space="preserve">, </w:t>
      </w:r>
      <w:proofErr w:type="spellStart"/>
      <w:r w:rsidR="00741D98" w:rsidRPr="00746F54">
        <w:rPr>
          <w:rFonts w:ascii="Arial" w:hAnsi="Arial" w:cs="Arial"/>
        </w:rPr>
        <w:t>Tcors</w:t>
      </w:r>
      <w:proofErr w:type="spellEnd"/>
      <w:r w:rsidR="00741D98" w:rsidRPr="00746F54">
        <w:rPr>
          <w:rFonts w:ascii="Arial" w:hAnsi="Arial" w:cs="Arial"/>
        </w:rPr>
        <w:t>,</w:t>
      </w:r>
      <w:r w:rsidRPr="00746F54">
        <w:rPr>
          <w:rFonts w:ascii="Arial" w:hAnsi="Arial" w:cs="Arial"/>
        </w:rPr>
        <w:t xml:space="preserve"> nomograms </w:t>
      </w:r>
      <w:r w:rsidR="00741D98" w:rsidRPr="00746F54">
        <w:rPr>
          <w:rFonts w:ascii="Arial" w:hAnsi="Arial" w:cs="Arial"/>
        </w:rPr>
        <w:t>or MOC</w:t>
      </w:r>
      <w:r w:rsidRPr="00746F54">
        <w:rPr>
          <w:rFonts w:ascii="Arial" w:hAnsi="Arial" w:cs="Arial"/>
        </w:rPr>
        <w:t xml:space="preserve"> to be activated. The market operator </w:t>
      </w:r>
      <w:r w:rsidR="00483D79" w:rsidRPr="00746F54">
        <w:rPr>
          <w:rFonts w:ascii="Arial" w:hAnsi="Arial" w:cs="Arial"/>
        </w:rPr>
        <w:t>will coordinate with EDAM entities to ensure proper market constraint</w:t>
      </w:r>
      <w:r w:rsidR="00D34B53" w:rsidRPr="00746F54">
        <w:rPr>
          <w:rFonts w:ascii="Arial" w:hAnsi="Arial" w:cs="Arial"/>
        </w:rPr>
        <w:t>s</w:t>
      </w:r>
      <w:r w:rsidR="00483D79" w:rsidRPr="00746F54">
        <w:rPr>
          <w:rFonts w:ascii="Arial" w:hAnsi="Arial" w:cs="Arial"/>
        </w:rPr>
        <w:t xml:space="preserve"> </w:t>
      </w:r>
      <w:r w:rsidR="00D34B53" w:rsidRPr="00746F54">
        <w:rPr>
          <w:rFonts w:ascii="Arial" w:hAnsi="Arial" w:cs="Arial"/>
        </w:rPr>
        <w:t>are</w:t>
      </w:r>
      <w:r w:rsidR="00483D79" w:rsidRPr="00746F54">
        <w:rPr>
          <w:rFonts w:ascii="Arial" w:hAnsi="Arial" w:cs="Arial"/>
        </w:rPr>
        <w:t xml:space="preserve"> implemented in the subsequent market runs to mitigate valid reliability concerns</w:t>
      </w:r>
      <w:r w:rsidR="004D6B5F" w:rsidRPr="00746F54">
        <w:rPr>
          <w:rFonts w:ascii="Arial" w:hAnsi="Arial" w:cs="Arial"/>
        </w:rPr>
        <w:t xml:space="preserve"> based upon OPA results and other inputs</w:t>
      </w:r>
      <w:r w:rsidR="00483D79" w:rsidRPr="00746F54">
        <w:rPr>
          <w:rFonts w:ascii="Arial" w:hAnsi="Arial" w:cs="Arial"/>
        </w:rPr>
        <w:t xml:space="preserve">. </w:t>
      </w:r>
    </w:p>
    <w:p w14:paraId="6428B1E0" w14:textId="77777777" w:rsidR="00382E42" w:rsidRPr="00746F54" w:rsidRDefault="00382E42" w:rsidP="00B9516F">
      <w:pPr>
        <w:pStyle w:val="Style1"/>
        <w:numPr>
          <w:ilvl w:val="0"/>
          <w:numId w:val="0"/>
        </w:numPr>
        <w:ind w:left="1080" w:hanging="1080"/>
        <w:rPr>
          <w:rFonts w:ascii="Arial" w:hAnsi="Arial"/>
          <w:bCs/>
        </w:rPr>
      </w:pPr>
      <w:r w:rsidRPr="00746F54">
        <w:rPr>
          <w:rFonts w:ascii="Arial" w:hAnsi="Arial"/>
          <w:bCs/>
        </w:rPr>
        <w:t>D4 Market Run</w:t>
      </w:r>
    </w:p>
    <w:p w14:paraId="083CC435" w14:textId="07B4B992" w:rsidR="00382E42" w:rsidRPr="00746F54" w:rsidRDefault="00382E42" w:rsidP="00B9516F">
      <w:pPr>
        <w:spacing w:line="360" w:lineRule="auto"/>
        <w:rPr>
          <w:rFonts w:ascii="Arial" w:hAnsi="Arial" w:cs="Arial"/>
        </w:rPr>
      </w:pPr>
      <w:r w:rsidRPr="00746F54">
        <w:rPr>
          <w:rFonts w:ascii="Arial" w:hAnsi="Arial" w:cs="Arial"/>
        </w:rPr>
        <w:t>The D4 market run is the first opportunity for the EDAM entities to see the results of a full market run based on their inputs in combination with others.  The D4 run begins after the D1, D2 and D3 market runs at approximately 1900 on D4.  This run provides full</w:t>
      </w:r>
      <w:r w:rsidR="00990577" w:rsidRPr="00746F54">
        <w:rPr>
          <w:rFonts w:ascii="Arial" w:hAnsi="Arial" w:cs="Arial"/>
        </w:rPr>
        <w:t xml:space="preserve"> market and</w:t>
      </w:r>
      <w:r w:rsidRPr="00746F54">
        <w:rPr>
          <w:rFonts w:ascii="Arial" w:hAnsi="Arial" w:cs="Arial"/>
        </w:rPr>
        <w:t xml:space="preserve"> OPA results reviewed by the market operator, which leaves all of D-3 and part of D-2 (prior to the D2 market run at 1300) available for review by the EDAM entities and, if necessary, coordination between the EDAM BAA and market operator.</w:t>
      </w:r>
    </w:p>
    <w:p w14:paraId="1E3FD2F6" w14:textId="77777777" w:rsidR="00382E42" w:rsidRPr="00746F54" w:rsidRDefault="00382E42" w:rsidP="00B9516F">
      <w:pPr>
        <w:pStyle w:val="Style1"/>
        <w:numPr>
          <w:ilvl w:val="0"/>
          <w:numId w:val="0"/>
        </w:numPr>
        <w:spacing w:line="360" w:lineRule="auto"/>
        <w:ind w:left="1080" w:hanging="1080"/>
        <w:rPr>
          <w:rFonts w:ascii="Arial" w:hAnsi="Arial"/>
        </w:rPr>
      </w:pPr>
      <w:r w:rsidRPr="00746F54">
        <w:rPr>
          <w:rFonts w:ascii="Arial" w:hAnsi="Arial"/>
          <w:bCs/>
        </w:rPr>
        <w:t>D2 Market Run</w:t>
      </w:r>
    </w:p>
    <w:p w14:paraId="118CF991" w14:textId="2A7D752B" w:rsidR="00382E42" w:rsidRPr="00746F54" w:rsidRDefault="00382E42" w:rsidP="00B9516F">
      <w:pPr>
        <w:spacing w:line="360" w:lineRule="auto"/>
        <w:rPr>
          <w:rFonts w:ascii="Arial" w:hAnsi="Arial" w:cs="Arial"/>
        </w:rPr>
      </w:pPr>
      <w:r w:rsidRPr="00746F54">
        <w:rPr>
          <w:rFonts w:ascii="Arial" w:hAnsi="Arial" w:cs="Arial"/>
        </w:rPr>
        <w:t xml:space="preserve">The D2 market run begins directly after the D1 market run completes at 1300, with results typically posted around 1700.  The outputs of the D2 market run are </w:t>
      </w:r>
      <w:proofErr w:type="gramStart"/>
      <w:r w:rsidR="00F86073" w:rsidRPr="00746F54">
        <w:rPr>
          <w:rFonts w:ascii="Arial" w:hAnsi="Arial" w:cs="Arial"/>
        </w:rPr>
        <w:t>similar to</w:t>
      </w:r>
      <w:proofErr w:type="gramEnd"/>
      <w:r w:rsidRPr="00746F54">
        <w:rPr>
          <w:rFonts w:ascii="Arial" w:hAnsi="Arial" w:cs="Arial"/>
        </w:rPr>
        <w:t xml:space="preserve"> those provided for the D4 run, with the added </w:t>
      </w:r>
      <w:r w:rsidR="004E58C1" w:rsidRPr="00746F54">
        <w:rPr>
          <w:rFonts w:ascii="Arial" w:hAnsi="Arial" w:cs="Arial"/>
        </w:rPr>
        <w:t>modifications</w:t>
      </w:r>
      <w:r w:rsidRPr="00746F54">
        <w:rPr>
          <w:rFonts w:ascii="Arial" w:hAnsi="Arial" w:cs="Arial"/>
        </w:rPr>
        <w:t xml:space="preserve"> made between the D4 and D2 </w:t>
      </w:r>
      <w:proofErr w:type="gramStart"/>
      <w:r w:rsidRPr="00746F54">
        <w:rPr>
          <w:rFonts w:ascii="Arial" w:hAnsi="Arial" w:cs="Arial"/>
        </w:rPr>
        <w:t>timeframe</w:t>
      </w:r>
      <w:proofErr w:type="gramEnd"/>
      <w:r w:rsidRPr="00746F54">
        <w:rPr>
          <w:rFonts w:ascii="Arial" w:hAnsi="Arial" w:cs="Arial"/>
        </w:rPr>
        <w:t xml:space="preserve">.  If any actions were taken to correct issues from the D4 market run, then the output of the D2 run should be validated to ensure the intended result.  </w:t>
      </w:r>
      <w:r w:rsidR="00C42D07" w:rsidRPr="00746F54">
        <w:rPr>
          <w:rFonts w:ascii="Arial" w:hAnsi="Arial" w:cs="Arial"/>
        </w:rPr>
        <w:t>Any additional action out of D2 review should be coordinated with the market operator in timely manner so evaluation can be done prior to D1 market run.</w:t>
      </w:r>
    </w:p>
    <w:p w14:paraId="684EED1D" w14:textId="77777777" w:rsidR="00382E42" w:rsidRPr="00746F54" w:rsidRDefault="00382E42" w:rsidP="00B9516F">
      <w:pPr>
        <w:pStyle w:val="Style1"/>
        <w:numPr>
          <w:ilvl w:val="0"/>
          <w:numId w:val="0"/>
        </w:numPr>
        <w:spacing w:line="360" w:lineRule="auto"/>
        <w:ind w:left="1080" w:hanging="1080"/>
        <w:rPr>
          <w:rFonts w:ascii="Arial" w:hAnsi="Arial"/>
          <w:bCs/>
        </w:rPr>
      </w:pPr>
      <w:r w:rsidRPr="00746F54">
        <w:rPr>
          <w:rFonts w:ascii="Arial" w:hAnsi="Arial"/>
          <w:bCs/>
        </w:rPr>
        <w:t>D1 Market Run</w:t>
      </w:r>
    </w:p>
    <w:p w14:paraId="2DBB491D" w14:textId="77777777" w:rsidR="00A62A99" w:rsidRPr="00E0313E" w:rsidRDefault="00382E42" w:rsidP="00636D40">
      <w:pPr>
        <w:pStyle w:val="Style1"/>
        <w:rPr>
          <w:rFonts w:ascii="Arial" w:hAnsi="Arial"/>
          <w:b w:val="0"/>
          <w:bCs/>
        </w:rPr>
      </w:pPr>
      <w:r w:rsidRPr="00E0313E">
        <w:rPr>
          <w:rFonts w:ascii="Arial" w:hAnsi="Arial"/>
          <w:b w:val="0"/>
          <w:bCs/>
        </w:rPr>
        <w:t xml:space="preserve">The D1 market run begins at 10:00 with market results posted by 13:00.  The results of the D1 market run represent the final schedules prior to the real-time market.  After reviewing the OPA, any necessary mitigation requiring long-start resources should be acted upon outside of the market, as there are no remaining Day-Ahead runs to commit generation.  Although there are no more remaining EDAM runs for the given trade date, it can still be valuable to review the outputs closely.  If necessary, outages that span multiple trade dates could still have constraint activation or conformances changed prior to the D1 run for the next trade date.  </w:t>
      </w:r>
      <w:r w:rsidRPr="00E0313E">
        <w:rPr>
          <w:rFonts w:ascii="Arial" w:hAnsi="Arial"/>
          <w:b w:val="0"/>
          <w:bCs/>
        </w:rPr>
        <w:lastRenderedPageBreak/>
        <w:t>Additionally, the EDAM entity may choose to modify the constraint activation before the real-time market runs based on the EDAM results.  Reviewing D1 market results and comparing them to real-time market results may also inform the EDAM entity’s default constraint enforcement or identify modeling issues.</w:t>
      </w:r>
    </w:p>
    <w:p w14:paraId="0126B4F5" w14:textId="4487EDD1" w:rsidR="00382E42" w:rsidRPr="00746F54" w:rsidRDefault="00382E42" w:rsidP="00636D40">
      <w:pPr>
        <w:pStyle w:val="Style1"/>
        <w:rPr>
          <w:rFonts w:ascii="Arial" w:hAnsi="Arial"/>
        </w:rPr>
      </w:pPr>
      <w:r w:rsidRPr="00746F54">
        <w:rPr>
          <w:rFonts w:ascii="Arial" w:hAnsi="Arial"/>
        </w:rPr>
        <w:t>Criterion for D1 Market Run Re-Execution</w:t>
      </w:r>
    </w:p>
    <w:p w14:paraId="1810569E" w14:textId="3EC75424" w:rsidR="00382E42" w:rsidRPr="00746F54" w:rsidRDefault="00382E42" w:rsidP="00B9516F">
      <w:pPr>
        <w:spacing w:before="180" w:after="180" w:line="360" w:lineRule="auto"/>
        <w:rPr>
          <w:rFonts w:ascii="Arial" w:eastAsia="Times New Roman" w:hAnsi="Arial" w:cs="Arial"/>
        </w:rPr>
      </w:pPr>
      <w:r w:rsidRPr="00746F54">
        <w:rPr>
          <w:rFonts w:ascii="Arial" w:eastAsia="Times New Roman" w:hAnsi="Arial" w:cs="Arial"/>
        </w:rPr>
        <w:t xml:space="preserve">The </w:t>
      </w:r>
      <w:r w:rsidR="009825BC" w:rsidRPr="00746F54">
        <w:rPr>
          <w:rFonts w:ascii="Arial" w:eastAsia="Times New Roman" w:hAnsi="Arial" w:cs="Arial"/>
        </w:rPr>
        <w:t>m</w:t>
      </w:r>
      <w:r w:rsidRPr="00746F54">
        <w:rPr>
          <w:rFonts w:ascii="Arial" w:eastAsia="Times New Roman" w:hAnsi="Arial" w:cs="Arial"/>
        </w:rPr>
        <w:t xml:space="preserve">arket </w:t>
      </w:r>
      <w:r w:rsidR="009825BC" w:rsidRPr="00746F54">
        <w:rPr>
          <w:rFonts w:ascii="Arial" w:eastAsia="Times New Roman" w:hAnsi="Arial" w:cs="Arial"/>
        </w:rPr>
        <w:t>v</w:t>
      </w:r>
      <w:r w:rsidRPr="00746F54">
        <w:rPr>
          <w:rFonts w:ascii="Arial" w:eastAsia="Times New Roman" w:hAnsi="Arial" w:cs="Arial"/>
        </w:rPr>
        <w:t>alidat</w:t>
      </w:r>
      <w:r w:rsidR="009825BC" w:rsidRPr="00746F54">
        <w:rPr>
          <w:rFonts w:ascii="Arial" w:eastAsia="Times New Roman" w:hAnsi="Arial" w:cs="Arial"/>
        </w:rPr>
        <w:t>or</w:t>
      </w:r>
      <w:r w:rsidRPr="00746F54">
        <w:rPr>
          <w:rFonts w:ascii="Arial" w:eastAsia="Times New Roman" w:hAnsi="Arial" w:cs="Arial"/>
        </w:rPr>
        <w:t xml:space="preserve"> shall monitor the market clearing software solutions for the Day-Ahead Market, the RUC process, for all market intervals to determine whether prices are calculated accurately, consistent with the provisions of the CAISO Tariff Section 35. To the extent reasonably practicable, the team shall correct erroneous prices identified through such monitoring and re-run the relevant CAISO Markets prior to publication of prices on its Open Access Same-Time Information System (OASIS) or provision of prices directly to Market Participants, if applicable.</w:t>
      </w:r>
    </w:p>
    <w:p w14:paraId="7ED987CE" w14:textId="2F8DA967" w:rsidR="00382E42" w:rsidRPr="00746F54" w:rsidRDefault="00382E42" w:rsidP="00B9516F">
      <w:pPr>
        <w:spacing w:line="360" w:lineRule="auto"/>
        <w:rPr>
          <w:rFonts w:ascii="Arial" w:hAnsi="Arial" w:cs="Arial"/>
        </w:rPr>
      </w:pPr>
      <w:r w:rsidRPr="00746F54">
        <w:rPr>
          <w:rFonts w:ascii="Arial" w:hAnsi="Arial" w:cs="Arial"/>
        </w:rPr>
        <w:t xml:space="preserve">MPM </w:t>
      </w:r>
      <w:r w:rsidR="0096706F" w:rsidRPr="00746F54">
        <w:rPr>
          <w:rFonts w:ascii="Arial" w:hAnsi="Arial" w:cs="Arial"/>
        </w:rPr>
        <w:t>may be</w:t>
      </w:r>
      <w:r w:rsidRPr="00746F54">
        <w:rPr>
          <w:rFonts w:ascii="Arial" w:hAnsi="Arial" w:cs="Arial"/>
        </w:rPr>
        <w:t xml:space="preserve"> rerun to correct DC solutions due to bad inputs in non-EDAM areas.  These inputs are a combination of assumptions and submitted data which may have to be manually adjusted by the market operator for certain system conditions.  These changes generally have no little or direct impact on pricing.  Continuing with an AC solution is highly desirable for overall solution quality, but DC solutions are considered valid EDAM results.  If DC solutions cannot be resolved with adjustments and MPM reruns, the market operator may continue the EDAM run with DC solutions</w:t>
      </w:r>
      <w:r w:rsidRPr="00746F54" w:rsidDel="00790CAE">
        <w:rPr>
          <w:rFonts w:ascii="Arial" w:hAnsi="Arial" w:cs="Arial"/>
        </w:rPr>
        <w:t xml:space="preserve"> </w:t>
      </w:r>
      <w:r w:rsidRPr="00746F54">
        <w:rPr>
          <w:rFonts w:ascii="Arial" w:hAnsi="Arial" w:cs="Arial"/>
        </w:rPr>
        <w:t xml:space="preserve">to prioritize the EDAM publication timeline. </w:t>
      </w:r>
    </w:p>
    <w:p w14:paraId="7A3BF8A5" w14:textId="01E8B4F0" w:rsidR="00382E42" w:rsidRPr="00746F54" w:rsidRDefault="00382E42" w:rsidP="00B9516F">
      <w:pPr>
        <w:spacing w:line="360" w:lineRule="auto"/>
        <w:rPr>
          <w:rFonts w:ascii="Arial" w:hAnsi="Arial" w:cs="Arial"/>
        </w:rPr>
      </w:pPr>
      <w:r w:rsidRPr="00746F54">
        <w:rPr>
          <w:rFonts w:ascii="Arial" w:hAnsi="Arial" w:cs="Arial"/>
        </w:rPr>
        <w:t xml:space="preserve">To ensure AC solutions, Nodal Group Limit Constraints were implemented to reduce artificial injections or withdrawals at these points to an acceptable level.  In the case that these nodal limits </w:t>
      </w:r>
      <w:proofErr w:type="gramStart"/>
      <w:r w:rsidRPr="00746F54">
        <w:rPr>
          <w:rFonts w:ascii="Arial" w:hAnsi="Arial" w:cs="Arial"/>
        </w:rPr>
        <w:t>are not able to</w:t>
      </w:r>
      <w:proofErr w:type="gramEnd"/>
      <w:r w:rsidRPr="00746F54">
        <w:rPr>
          <w:rFonts w:ascii="Arial" w:hAnsi="Arial" w:cs="Arial"/>
        </w:rPr>
        <w:t xml:space="preserve"> correct a DC solution then the market operator may change the nodal limits or remove convergence bidding at that station altogether to assure solution quality.  Note that the Nodal Group Limit Constraint only applies to EDAM entities that allow convergence bidding. See Market Operations BPM Section 3.1.11 and Tariff Section 30.9.</w:t>
      </w:r>
    </w:p>
    <w:p w14:paraId="69BEDA3C" w14:textId="59C9D9CA" w:rsidR="00382E42" w:rsidRPr="00746F54" w:rsidRDefault="00382E42" w:rsidP="00B9516F">
      <w:pPr>
        <w:spacing w:line="360" w:lineRule="auto"/>
        <w:rPr>
          <w:rFonts w:ascii="Arial" w:hAnsi="Arial" w:cs="Arial"/>
        </w:rPr>
      </w:pPr>
      <w:r w:rsidRPr="00746F54">
        <w:rPr>
          <w:rFonts w:ascii="Arial" w:hAnsi="Arial" w:cs="Arial"/>
        </w:rPr>
        <w:t xml:space="preserve">MPM may also be rerun at the market operator’s discretion for significant input issues that may cause market results that could lead to a system emergency.  Note that pricing is not a valid reason for an EDAM Entity to request the market operator to initiate a rerun based on invalid inputs.  </w:t>
      </w:r>
      <w:r w:rsidR="0096706F" w:rsidRPr="00746F54">
        <w:rPr>
          <w:rFonts w:ascii="Arial" w:hAnsi="Arial" w:cs="Arial"/>
        </w:rPr>
        <w:t xml:space="preserve">The </w:t>
      </w:r>
      <w:r w:rsidR="00584C03" w:rsidRPr="00746F54">
        <w:rPr>
          <w:rFonts w:ascii="Arial" w:hAnsi="Arial" w:cs="Arial"/>
        </w:rPr>
        <w:t>market operator</w:t>
      </w:r>
      <w:r w:rsidR="0096706F" w:rsidRPr="00746F54">
        <w:rPr>
          <w:rFonts w:ascii="Arial" w:hAnsi="Arial" w:cs="Arial"/>
        </w:rPr>
        <w:t xml:space="preserve"> reviews results at each stage of the market run and may contact the EDAM entity if necessary to confirm inputs.  </w:t>
      </w:r>
      <w:r w:rsidRPr="00746F54">
        <w:rPr>
          <w:rFonts w:ascii="Arial" w:hAnsi="Arial" w:cs="Arial"/>
        </w:rPr>
        <w:t xml:space="preserve">The intent is not to hold or rerun the market to change inputs as desired after market close, but to be used in exceptional circumstances that </w:t>
      </w:r>
      <w:r w:rsidRPr="00746F54">
        <w:rPr>
          <w:rFonts w:ascii="Arial" w:hAnsi="Arial" w:cs="Arial"/>
        </w:rPr>
        <w:lastRenderedPageBreak/>
        <w:t xml:space="preserve">would prevent any </w:t>
      </w:r>
      <w:r w:rsidR="00053C32" w:rsidRPr="00746F54">
        <w:rPr>
          <w:rFonts w:ascii="Arial" w:hAnsi="Arial" w:cs="Arial"/>
        </w:rPr>
        <w:t>in</w:t>
      </w:r>
      <w:r w:rsidRPr="00746F54">
        <w:rPr>
          <w:rFonts w:ascii="Arial" w:hAnsi="Arial" w:cs="Arial"/>
        </w:rPr>
        <w:t>valid market solution from being produced. This would include the following scenarios:</w:t>
      </w:r>
    </w:p>
    <w:p w14:paraId="59C71938" w14:textId="77777777" w:rsidR="00382E42" w:rsidRPr="00746F54" w:rsidRDefault="00382E42" w:rsidP="00B9516F">
      <w:pPr>
        <w:spacing w:line="360" w:lineRule="auto"/>
        <w:ind w:left="720"/>
        <w:rPr>
          <w:rFonts w:ascii="Arial" w:hAnsi="Arial" w:cs="Arial"/>
        </w:rPr>
      </w:pPr>
      <w:r w:rsidRPr="00746F54">
        <w:rPr>
          <w:rFonts w:ascii="Arial" w:hAnsi="Arial" w:cs="Arial"/>
        </w:rPr>
        <w:t>1.</w:t>
      </w:r>
      <w:r w:rsidRPr="00746F54">
        <w:rPr>
          <w:rFonts w:ascii="Arial" w:hAnsi="Arial" w:cs="Arial"/>
        </w:rPr>
        <w:tab/>
        <w:t xml:space="preserve">Significant outage modeling issues that prevent a valid EDAM solution.  For example: inadvertently islanding a large area due to incorrect modeling disconnecting large amounts of load and generation.  </w:t>
      </w:r>
    </w:p>
    <w:p w14:paraId="461F68FD" w14:textId="407E1129" w:rsidR="00382E42" w:rsidRPr="00746F54" w:rsidRDefault="00382E42" w:rsidP="00B9516F">
      <w:pPr>
        <w:spacing w:line="360" w:lineRule="auto"/>
        <w:ind w:left="720"/>
        <w:rPr>
          <w:rFonts w:ascii="Arial" w:hAnsi="Arial" w:cs="Arial"/>
        </w:rPr>
      </w:pPr>
      <w:r w:rsidRPr="00746F54">
        <w:rPr>
          <w:rFonts w:ascii="Arial" w:hAnsi="Arial" w:cs="Arial"/>
        </w:rPr>
        <w:t>2.</w:t>
      </w:r>
      <w:r w:rsidRPr="00746F54">
        <w:rPr>
          <w:rFonts w:ascii="Arial" w:hAnsi="Arial" w:cs="Arial"/>
        </w:rPr>
        <w:tab/>
        <w:t xml:space="preserve">Situations where large resources (e.g., greater than </w:t>
      </w:r>
      <w:r w:rsidR="003F0B7D" w:rsidRPr="00746F54">
        <w:rPr>
          <w:rFonts w:ascii="Arial" w:hAnsi="Arial" w:cs="Arial"/>
        </w:rPr>
        <w:t>100</w:t>
      </w:r>
      <w:r w:rsidRPr="00746F54">
        <w:rPr>
          <w:rFonts w:ascii="Arial" w:hAnsi="Arial" w:cs="Arial"/>
        </w:rPr>
        <w:t xml:space="preserve"> MW) are inadvertently disconnected from the model due to incorrect outage modeling. Note that these should have been corrected from D4 and D2 market results, and further modeling corrections may not be allowed in D1 based on the EDAM timeline.</w:t>
      </w:r>
    </w:p>
    <w:p w14:paraId="3E0B7E1D" w14:textId="77777777" w:rsidR="00382E42" w:rsidRPr="00746F54" w:rsidRDefault="00382E42" w:rsidP="00B9516F">
      <w:pPr>
        <w:spacing w:line="360" w:lineRule="auto"/>
        <w:ind w:left="720"/>
        <w:rPr>
          <w:rFonts w:ascii="Arial" w:hAnsi="Arial" w:cs="Arial"/>
        </w:rPr>
      </w:pPr>
      <w:r w:rsidRPr="00746F54">
        <w:rPr>
          <w:rFonts w:ascii="Arial" w:hAnsi="Arial" w:cs="Arial"/>
        </w:rPr>
        <w:t>3.</w:t>
      </w:r>
      <w:r w:rsidRPr="00746F54">
        <w:rPr>
          <w:rFonts w:ascii="Arial" w:hAnsi="Arial" w:cs="Arial"/>
        </w:rPr>
        <w:tab/>
        <w:t>Situations where submitted bids are egregiously incorrect that would prevent an accurate market solution. For example, a PTO or EDAM entity failing to submit any load bids, or a typo causing a bid MW amount to be off by orders of magnitude.</w:t>
      </w:r>
    </w:p>
    <w:p w14:paraId="59F1EDF5" w14:textId="3297B989" w:rsidR="00382E42" w:rsidRPr="00746F54" w:rsidRDefault="00382E42" w:rsidP="00B9516F">
      <w:pPr>
        <w:spacing w:line="360" w:lineRule="auto"/>
        <w:ind w:left="720"/>
        <w:rPr>
          <w:rFonts w:ascii="Arial" w:hAnsi="Arial" w:cs="Arial"/>
        </w:rPr>
      </w:pPr>
      <w:r w:rsidRPr="00746F54">
        <w:rPr>
          <w:rFonts w:ascii="Arial" w:hAnsi="Arial" w:cs="Arial"/>
        </w:rPr>
        <w:t>4.</w:t>
      </w:r>
      <w:r w:rsidRPr="00746F54">
        <w:rPr>
          <w:rFonts w:ascii="Arial" w:hAnsi="Arial" w:cs="Arial"/>
        </w:rPr>
        <w:tab/>
        <w:t>Situations where invalid transmission overloads caused by EDAM entity data input errors, market software defects, or tariff inconsistencies. Invalid EDAM entity inputs may include but are not limited to outage modeling</w:t>
      </w:r>
      <w:r w:rsidR="00AE4F3A" w:rsidRPr="00746F54">
        <w:rPr>
          <w:rFonts w:ascii="Arial" w:hAnsi="Arial" w:cs="Arial"/>
        </w:rPr>
        <w:t xml:space="preserve"> or</w:t>
      </w:r>
      <w:r w:rsidRPr="00746F54">
        <w:rPr>
          <w:rFonts w:ascii="Arial" w:hAnsi="Arial" w:cs="Arial"/>
        </w:rPr>
        <w:t xml:space="preserve"> constraint enforcement.</w:t>
      </w:r>
    </w:p>
    <w:p w14:paraId="3142BE86" w14:textId="2FD9A4C0" w:rsidR="00382E42" w:rsidRPr="00746F54" w:rsidRDefault="00382E42" w:rsidP="00B9516F">
      <w:pPr>
        <w:spacing w:line="360" w:lineRule="auto"/>
        <w:rPr>
          <w:rFonts w:ascii="Arial" w:hAnsi="Arial" w:cs="Arial"/>
        </w:rPr>
      </w:pPr>
      <w:r w:rsidRPr="00746F54">
        <w:rPr>
          <w:rFonts w:ascii="Arial" w:hAnsi="Arial" w:cs="Arial"/>
        </w:rPr>
        <w:t>If the execution of the D1 experience delays that may threaten the timely publication of final schedules by 13:00, the market operator shall seek director-level approval on a case-by-case basis to re-execute.</w:t>
      </w:r>
    </w:p>
    <w:p w14:paraId="450271C5" w14:textId="1F2FB35B" w:rsidR="00CF5F0A" w:rsidRDefault="00CF5F0A" w:rsidP="002E7413">
      <w:pPr>
        <w:pStyle w:val="Heading2"/>
        <w:numPr>
          <w:ilvl w:val="2"/>
          <w:numId w:val="63"/>
        </w:numPr>
        <w:rPr>
          <w:rFonts w:ascii="Arial" w:hAnsi="Arial" w:cs="Arial"/>
        </w:rPr>
      </w:pPr>
      <w:bookmarkStart w:id="298" w:name="_Toc211338008"/>
      <w:bookmarkStart w:id="299" w:name="_Toc228963764"/>
      <w:r w:rsidRPr="00CF5F0A">
        <w:rPr>
          <w:rFonts w:ascii="Arial" w:hAnsi="Arial" w:cs="Arial"/>
        </w:rPr>
        <w:t>Day-Ahead Contingency Analysis (DACA)</w:t>
      </w:r>
      <w:bookmarkEnd w:id="299"/>
      <w:r w:rsidRPr="00CF5F0A">
        <w:rPr>
          <w:rFonts w:ascii="Arial" w:hAnsi="Arial" w:cs="Arial"/>
        </w:rPr>
        <w:t xml:space="preserve"> </w:t>
      </w:r>
    </w:p>
    <w:p w14:paraId="4363E975" w14:textId="77777777" w:rsidR="00CF5F0A" w:rsidRPr="00957E85" w:rsidRDefault="00CF5F0A" w:rsidP="00CF5F0A">
      <w:pPr>
        <w:spacing w:after="120" w:line="300" w:lineRule="auto"/>
        <w:jc w:val="both"/>
        <w:rPr>
          <w:rFonts w:ascii="Arial" w:eastAsia="Times New Roman" w:hAnsi="Arial" w:cs="Arial"/>
        </w:rPr>
      </w:pPr>
      <w:r>
        <w:rPr>
          <w:rFonts w:ascii="Arial" w:eastAsia="Times New Roman" w:hAnsi="Arial" w:cs="Arial"/>
        </w:rPr>
        <w:t>CAISO</w:t>
      </w:r>
      <w:r w:rsidRPr="00957E85">
        <w:rPr>
          <w:rFonts w:ascii="Arial" w:eastAsia="Times New Roman" w:hAnsi="Arial" w:cs="Arial"/>
        </w:rPr>
        <w:t xml:space="preserve"> offers </w:t>
      </w:r>
      <w:r>
        <w:rPr>
          <w:rFonts w:ascii="Arial" w:eastAsia="Times New Roman" w:hAnsi="Arial" w:cs="Arial"/>
        </w:rPr>
        <w:t>Day-Ahead Contingency Analysis (DACA)</w:t>
      </w:r>
      <w:r w:rsidRPr="00957E85">
        <w:rPr>
          <w:rFonts w:ascii="Arial" w:eastAsia="Times New Roman" w:hAnsi="Arial" w:cs="Arial"/>
        </w:rPr>
        <w:t xml:space="preserve"> services</w:t>
      </w:r>
      <w:r>
        <w:rPr>
          <w:rFonts w:ascii="Arial" w:eastAsia="Times New Roman" w:hAnsi="Arial" w:cs="Arial"/>
        </w:rPr>
        <w:t xml:space="preserve">, which </w:t>
      </w:r>
      <w:r w:rsidRPr="00957E85">
        <w:rPr>
          <w:rFonts w:ascii="Arial" w:eastAsia="Times New Roman" w:hAnsi="Arial" w:cs="Arial"/>
        </w:rPr>
        <w:t xml:space="preserve">are distinct from the </w:t>
      </w:r>
      <w:r>
        <w:rPr>
          <w:rFonts w:ascii="Arial" w:eastAsia="Times New Roman" w:hAnsi="Arial" w:cs="Arial"/>
        </w:rPr>
        <w:t>EDAM</w:t>
      </w:r>
      <w:r w:rsidRPr="00957E85">
        <w:rPr>
          <w:rFonts w:ascii="Arial" w:eastAsia="Times New Roman" w:hAnsi="Arial" w:cs="Arial"/>
        </w:rPr>
        <w:t xml:space="preserve"> function and will be billed as such.  </w:t>
      </w:r>
      <w:r>
        <w:rPr>
          <w:rFonts w:ascii="Arial" w:eastAsia="Times New Roman" w:hAnsi="Arial" w:cs="Arial"/>
        </w:rPr>
        <w:t>CAISO</w:t>
      </w:r>
      <w:r w:rsidRPr="00957E85">
        <w:rPr>
          <w:rFonts w:ascii="Arial" w:eastAsia="Times New Roman" w:hAnsi="Arial" w:cs="Arial"/>
        </w:rPr>
        <w:t xml:space="preserve"> provides these services in accordance with CAISO Tariff Section </w:t>
      </w:r>
      <w:r>
        <w:rPr>
          <w:rFonts w:ascii="Arial" w:eastAsia="Times New Roman" w:hAnsi="Arial" w:cs="Arial"/>
        </w:rPr>
        <w:t>33.21</w:t>
      </w:r>
      <w:r w:rsidRPr="00957E85">
        <w:rPr>
          <w:rFonts w:ascii="Arial" w:eastAsia="Times New Roman" w:hAnsi="Arial" w:cs="Arial"/>
        </w:rPr>
        <w:t>.</w:t>
      </w:r>
    </w:p>
    <w:p w14:paraId="6B0002D8" w14:textId="77777777" w:rsidR="00CF5F0A" w:rsidRPr="00957E85" w:rsidRDefault="00CF5F0A" w:rsidP="00CF5F0A">
      <w:pPr>
        <w:spacing w:after="120" w:line="300" w:lineRule="auto"/>
        <w:jc w:val="both"/>
        <w:rPr>
          <w:rFonts w:ascii="Arial" w:eastAsia="Times New Roman" w:hAnsi="Arial" w:cs="Arial"/>
        </w:rPr>
      </w:pPr>
      <w:r>
        <w:rPr>
          <w:rFonts w:ascii="Arial" w:eastAsia="Times New Roman" w:hAnsi="Arial" w:cs="Arial"/>
        </w:rPr>
        <w:t>EDAM Entities</w:t>
      </w:r>
      <w:r w:rsidRPr="00957E85">
        <w:rPr>
          <w:rFonts w:ascii="Arial" w:eastAsia="Times New Roman" w:hAnsi="Arial" w:cs="Arial"/>
        </w:rPr>
        <w:t xml:space="preserve"> who </w:t>
      </w:r>
      <w:r>
        <w:rPr>
          <w:rFonts w:ascii="Arial" w:eastAsia="Times New Roman" w:hAnsi="Arial" w:cs="Arial"/>
        </w:rPr>
        <w:t>elect to receive</w:t>
      </w:r>
      <w:r w:rsidRPr="00957E85">
        <w:rPr>
          <w:rFonts w:ascii="Arial" w:eastAsia="Times New Roman" w:hAnsi="Arial" w:cs="Arial"/>
        </w:rPr>
        <w:t xml:space="preserve"> </w:t>
      </w:r>
      <w:r>
        <w:rPr>
          <w:rFonts w:ascii="Arial" w:eastAsia="Times New Roman" w:hAnsi="Arial" w:cs="Arial"/>
        </w:rPr>
        <w:t>DAC</w:t>
      </w:r>
      <w:r w:rsidRPr="00957E85">
        <w:rPr>
          <w:rFonts w:ascii="Arial" w:eastAsia="Times New Roman" w:hAnsi="Arial" w:cs="Arial"/>
        </w:rPr>
        <w:t>A services will be able to</w:t>
      </w:r>
      <w:r>
        <w:rPr>
          <w:rFonts w:ascii="Arial" w:eastAsia="Times New Roman" w:hAnsi="Arial" w:cs="Arial"/>
        </w:rPr>
        <w:t xml:space="preserve"> </w:t>
      </w:r>
      <w:r w:rsidRPr="00291DF0">
        <w:rPr>
          <w:rFonts w:ascii="Arial" w:eastAsia="Times New Roman" w:hAnsi="Arial" w:cs="Arial"/>
        </w:rPr>
        <w:t xml:space="preserve">perform their own Day Ahead Contingency Analysis executions. </w:t>
      </w:r>
      <w:r>
        <w:rPr>
          <w:rFonts w:ascii="Arial" w:eastAsia="Times New Roman" w:hAnsi="Arial" w:cs="Arial"/>
        </w:rPr>
        <w:t xml:space="preserve">This functionality will allow </w:t>
      </w:r>
      <w:r w:rsidRPr="00291DF0">
        <w:rPr>
          <w:rFonts w:ascii="Arial" w:eastAsia="Times New Roman" w:hAnsi="Arial" w:cs="Arial"/>
        </w:rPr>
        <w:t xml:space="preserve">subscribers to perform reliability studies by running what-if scenarios with the network contingencies and Remedial Action Scheme (RAS) for their own </w:t>
      </w:r>
      <w:r>
        <w:rPr>
          <w:rFonts w:ascii="Arial" w:eastAsia="Times New Roman" w:hAnsi="Arial" w:cs="Arial"/>
        </w:rPr>
        <w:t>Balancing Authority Area</w:t>
      </w:r>
      <w:r w:rsidRPr="00291DF0">
        <w:rPr>
          <w:rFonts w:ascii="Arial" w:eastAsia="Times New Roman" w:hAnsi="Arial" w:cs="Arial"/>
        </w:rPr>
        <w:t>.</w:t>
      </w:r>
    </w:p>
    <w:p w14:paraId="7A7A1466" w14:textId="77777777" w:rsidR="00CF5F0A" w:rsidRDefault="00CF5F0A" w:rsidP="00CF5F0A">
      <w:pPr>
        <w:spacing w:after="120" w:line="300" w:lineRule="auto"/>
        <w:jc w:val="both"/>
        <w:rPr>
          <w:rFonts w:ascii="Arial" w:eastAsia="Times New Roman" w:hAnsi="Arial" w:cs="Arial"/>
        </w:rPr>
      </w:pPr>
      <w:r>
        <w:rPr>
          <w:rFonts w:ascii="Arial" w:eastAsia="Times New Roman" w:hAnsi="Arial" w:cs="Arial"/>
        </w:rPr>
        <w:t>DAC</w:t>
      </w:r>
      <w:r w:rsidRPr="00957E85">
        <w:rPr>
          <w:rFonts w:ascii="Arial" w:eastAsia="Times New Roman" w:hAnsi="Arial" w:cs="Arial"/>
        </w:rPr>
        <w:t xml:space="preserve">A services will be available to </w:t>
      </w:r>
      <w:r>
        <w:rPr>
          <w:rFonts w:ascii="Arial" w:eastAsia="Times New Roman" w:hAnsi="Arial" w:cs="Arial"/>
        </w:rPr>
        <w:t>EDAM Entities that participate in CAISO’s Extended Day-Ahead Market</w:t>
      </w:r>
      <w:r w:rsidRPr="00957E85">
        <w:rPr>
          <w:rFonts w:ascii="Arial" w:eastAsia="Times New Roman" w:hAnsi="Arial" w:cs="Arial"/>
        </w:rPr>
        <w:t xml:space="preserve">.  </w:t>
      </w:r>
      <w:r>
        <w:rPr>
          <w:rFonts w:ascii="Arial" w:eastAsia="Times New Roman" w:hAnsi="Arial" w:cs="Arial"/>
        </w:rPr>
        <w:t>EDAM Entities can choose from the following services:</w:t>
      </w:r>
    </w:p>
    <w:p w14:paraId="386D77AE" w14:textId="77777777" w:rsidR="00CF5F0A" w:rsidRPr="007A28B0" w:rsidRDefault="00CF5F0A" w:rsidP="00CF5F0A">
      <w:pPr>
        <w:spacing w:after="240" w:line="300" w:lineRule="auto"/>
        <w:jc w:val="both"/>
        <w:rPr>
          <w:rFonts w:ascii="Arial" w:eastAsia="Times New Roman" w:hAnsi="Arial" w:cs="Arial"/>
          <w:b/>
          <w:bCs/>
        </w:rPr>
      </w:pPr>
      <w:r w:rsidRPr="007A28B0">
        <w:rPr>
          <w:rFonts w:ascii="Arial" w:eastAsia="Times New Roman" w:hAnsi="Arial" w:cs="Arial"/>
          <w:b/>
          <w:bCs/>
        </w:rPr>
        <w:t>DACA Visualization (included in base subscription fee)</w:t>
      </w:r>
    </w:p>
    <w:p w14:paraId="5A9513F8" w14:textId="77777777" w:rsidR="00CF5F0A" w:rsidRPr="007A28B0" w:rsidRDefault="00CF5F0A" w:rsidP="00CF5F0A">
      <w:pPr>
        <w:spacing w:after="240" w:line="300" w:lineRule="auto"/>
        <w:jc w:val="both"/>
        <w:rPr>
          <w:rFonts w:ascii="Arial" w:eastAsia="Times New Roman" w:hAnsi="Arial" w:cs="Arial"/>
        </w:rPr>
      </w:pPr>
      <w:r w:rsidRPr="007A28B0">
        <w:rPr>
          <w:rFonts w:ascii="Arial" w:eastAsia="Times New Roman" w:hAnsi="Arial" w:cs="Arial"/>
        </w:rPr>
        <w:lastRenderedPageBreak/>
        <w:t>•</w:t>
      </w:r>
      <w:r w:rsidRPr="007A28B0">
        <w:rPr>
          <w:rFonts w:ascii="Arial" w:eastAsia="Times New Roman" w:hAnsi="Arial" w:cs="Arial"/>
        </w:rPr>
        <w:tab/>
      </w:r>
      <w:r>
        <w:rPr>
          <w:rFonts w:ascii="Arial" w:eastAsia="Times New Roman" w:hAnsi="Arial" w:cs="Arial"/>
        </w:rPr>
        <w:t>R</w:t>
      </w:r>
      <w:r w:rsidRPr="007A28B0">
        <w:rPr>
          <w:rFonts w:ascii="Arial" w:eastAsia="Times New Roman" w:hAnsi="Arial" w:cs="Arial"/>
        </w:rPr>
        <w:t xml:space="preserve">ead-only access to view </w:t>
      </w:r>
      <w:bookmarkStart w:id="300" w:name="_Hlk212627134"/>
      <w:r w:rsidRPr="007A28B0">
        <w:rPr>
          <w:rFonts w:ascii="Arial" w:eastAsia="Times New Roman" w:hAnsi="Arial" w:cs="Arial"/>
        </w:rPr>
        <w:t xml:space="preserve">the results of D+1, D+2, and D+4 in the </w:t>
      </w:r>
      <w:bookmarkEnd w:id="300"/>
      <w:r w:rsidRPr="007A28B0">
        <w:rPr>
          <w:rFonts w:ascii="Arial" w:eastAsia="Times New Roman" w:hAnsi="Arial" w:cs="Arial"/>
        </w:rPr>
        <w:t>Day Ahead Contingency Analysis</w:t>
      </w:r>
      <w:r>
        <w:rPr>
          <w:rFonts w:ascii="Arial" w:eastAsia="Times New Roman" w:hAnsi="Arial" w:cs="Arial"/>
        </w:rPr>
        <w:t xml:space="preserve"> including visualization</w:t>
      </w:r>
      <w:r w:rsidRPr="007A28B0">
        <w:rPr>
          <w:rFonts w:ascii="Arial" w:eastAsia="Times New Roman" w:hAnsi="Arial" w:cs="Arial"/>
        </w:rPr>
        <w:t xml:space="preserve"> using network model one-line diagrams.</w:t>
      </w:r>
    </w:p>
    <w:p w14:paraId="242BEF0E" w14:textId="77777777" w:rsidR="00CF5F0A" w:rsidRPr="00F16720" w:rsidRDefault="00CF5F0A" w:rsidP="00CF5F0A">
      <w:pPr>
        <w:spacing w:after="240" w:line="300" w:lineRule="auto"/>
        <w:jc w:val="both"/>
        <w:rPr>
          <w:rFonts w:ascii="Arial" w:eastAsia="Times New Roman" w:hAnsi="Arial" w:cs="Arial"/>
          <w:b/>
          <w:bCs/>
        </w:rPr>
      </w:pPr>
      <w:r w:rsidRPr="00F16720">
        <w:rPr>
          <w:rFonts w:ascii="Arial" w:eastAsia="Times New Roman" w:hAnsi="Arial" w:cs="Arial"/>
          <w:b/>
          <w:bCs/>
        </w:rPr>
        <w:t>DACA Study (supplemental service subscription required)</w:t>
      </w:r>
    </w:p>
    <w:p w14:paraId="447EBD62" w14:textId="77777777" w:rsidR="00CF5F0A" w:rsidRPr="007A28B0" w:rsidRDefault="00CF5F0A" w:rsidP="00CF5F0A">
      <w:pPr>
        <w:spacing w:after="240" w:line="300" w:lineRule="auto"/>
        <w:jc w:val="both"/>
        <w:rPr>
          <w:rFonts w:ascii="Arial" w:eastAsia="Times New Roman" w:hAnsi="Arial" w:cs="Arial"/>
        </w:rPr>
      </w:pPr>
      <w:r w:rsidRPr="007A28B0">
        <w:rPr>
          <w:rFonts w:ascii="Arial" w:eastAsia="Times New Roman" w:hAnsi="Arial" w:cs="Arial"/>
        </w:rPr>
        <w:t>•</w:t>
      </w:r>
      <w:r w:rsidRPr="007A28B0">
        <w:rPr>
          <w:rFonts w:ascii="Arial" w:eastAsia="Times New Roman" w:hAnsi="Arial" w:cs="Arial"/>
        </w:rPr>
        <w:tab/>
        <w:t>Includes</w:t>
      </w:r>
      <w:r>
        <w:rPr>
          <w:rFonts w:ascii="Arial" w:eastAsia="Times New Roman" w:hAnsi="Arial" w:cs="Arial"/>
        </w:rPr>
        <w:t xml:space="preserve"> read and write access to</w:t>
      </w:r>
      <w:r w:rsidRPr="007A28B0">
        <w:rPr>
          <w:rFonts w:ascii="Arial" w:eastAsia="Times New Roman" w:hAnsi="Arial" w:cs="Arial"/>
        </w:rPr>
        <w:t xml:space="preserve"> </w:t>
      </w:r>
      <w:r>
        <w:rPr>
          <w:rFonts w:ascii="Arial" w:eastAsia="Times New Roman" w:hAnsi="Arial" w:cs="Arial"/>
        </w:rPr>
        <w:t>DACA</w:t>
      </w:r>
      <w:r w:rsidRPr="007A28B0">
        <w:rPr>
          <w:rFonts w:ascii="Arial" w:eastAsia="Times New Roman" w:hAnsi="Arial" w:cs="Arial"/>
        </w:rPr>
        <w:t xml:space="preserve"> Visualization</w:t>
      </w:r>
      <w:r>
        <w:rPr>
          <w:rFonts w:ascii="Arial" w:eastAsia="Times New Roman" w:hAnsi="Arial" w:cs="Arial"/>
        </w:rPr>
        <w:t>.</w:t>
      </w:r>
    </w:p>
    <w:p w14:paraId="4D343583" w14:textId="77777777" w:rsidR="00CF5F0A" w:rsidRPr="007A28B0" w:rsidRDefault="00CF5F0A" w:rsidP="00CF5F0A">
      <w:pPr>
        <w:spacing w:after="240" w:line="300" w:lineRule="auto"/>
        <w:jc w:val="both"/>
        <w:rPr>
          <w:rFonts w:ascii="Arial" w:eastAsia="Times New Roman" w:hAnsi="Arial" w:cs="Arial"/>
        </w:rPr>
      </w:pPr>
      <w:r w:rsidRPr="007A28B0">
        <w:rPr>
          <w:rFonts w:ascii="Arial" w:eastAsia="Times New Roman" w:hAnsi="Arial" w:cs="Arial"/>
        </w:rPr>
        <w:t>•</w:t>
      </w:r>
      <w:r w:rsidRPr="007A28B0">
        <w:rPr>
          <w:rFonts w:ascii="Arial" w:eastAsia="Times New Roman" w:hAnsi="Arial" w:cs="Arial"/>
        </w:rPr>
        <w:tab/>
      </w:r>
      <w:r>
        <w:rPr>
          <w:rFonts w:ascii="Arial" w:eastAsia="Times New Roman" w:hAnsi="Arial" w:cs="Arial"/>
        </w:rPr>
        <w:t>A</w:t>
      </w:r>
      <w:r w:rsidRPr="007A28B0">
        <w:rPr>
          <w:rFonts w:ascii="Arial" w:eastAsia="Times New Roman" w:hAnsi="Arial" w:cs="Arial"/>
        </w:rPr>
        <w:t xml:space="preserve">bility to make changes to cases, apply reconfiguration, and perform </w:t>
      </w:r>
      <w:r>
        <w:rPr>
          <w:rFonts w:ascii="Arial" w:eastAsia="Times New Roman" w:hAnsi="Arial" w:cs="Arial"/>
        </w:rPr>
        <w:t xml:space="preserve">contingency analysis </w:t>
      </w:r>
      <w:r w:rsidRPr="007A28B0">
        <w:rPr>
          <w:rFonts w:ascii="Arial" w:eastAsia="Times New Roman" w:hAnsi="Arial" w:cs="Arial"/>
        </w:rPr>
        <w:t>studies utilizing CAISO’s advanced network applications</w:t>
      </w:r>
      <w:r>
        <w:rPr>
          <w:rFonts w:ascii="Arial" w:eastAsia="Times New Roman" w:hAnsi="Arial" w:cs="Arial"/>
        </w:rPr>
        <w:t xml:space="preserve"> </w:t>
      </w:r>
      <w:r w:rsidRPr="007A28B0">
        <w:rPr>
          <w:rFonts w:ascii="Arial" w:eastAsia="Times New Roman" w:hAnsi="Arial" w:cs="Arial"/>
        </w:rPr>
        <w:t>to verify the impact of changes on the network constraints</w:t>
      </w:r>
      <w:r>
        <w:rPr>
          <w:rFonts w:ascii="Arial" w:eastAsia="Times New Roman" w:hAnsi="Arial" w:cs="Arial"/>
        </w:rPr>
        <w:t>.</w:t>
      </w:r>
    </w:p>
    <w:p w14:paraId="66F5C56B" w14:textId="77777777" w:rsidR="00CF5F0A" w:rsidRPr="009546C4" w:rsidRDefault="00CF5F0A" w:rsidP="00CF5F0A">
      <w:pPr>
        <w:spacing w:after="240" w:line="300" w:lineRule="auto"/>
        <w:jc w:val="both"/>
        <w:rPr>
          <w:rFonts w:ascii="Arial" w:eastAsia="Times New Roman" w:hAnsi="Arial" w:cs="Arial"/>
        </w:rPr>
      </w:pPr>
      <w:r w:rsidRPr="007A28B0">
        <w:rPr>
          <w:rFonts w:ascii="Arial" w:eastAsia="Times New Roman" w:hAnsi="Arial" w:cs="Arial"/>
        </w:rPr>
        <w:t>•</w:t>
      </w:r>
      <w:r>
        <w:rPr>
          <w:rFonts w:ascii="Arial" w:eastAsia="Times New Roman" w:hAnsi="Arial" w:cs="Arial"/>
        </w:rPr>
        <w:tab/>
        <w:t>Includes two concurrent study users.  The EDAM Entity can add more study users at an additional cost.</w:t>
      </w:r>
    </w:p>
    <w:p w14:paraId="7DA38A1C" w14:textId="77777777" w:rsidR="00CF5F0A" w:rsidRPr="00957E85" w:rsidRDefault="00CF5F0A" w:rsidP="00CF5F0A">
      <w:pPr>
        <w:spacing w:after="240" w:line="300" w:lineRule="auto"/>
        <w:jc w:val="both"/>
        <w:rPr>
          <w:rFonts w:ascii="Arial" w:eastAsia="Times New Roman" w:hAnsi="Arial" w:cs="Arial"/>
          <w:color w:val="000000"/>
        </w:rPr>
      </w:pPr>
      <w:r>
        <w:rPr>
          <w:rFonts w:ascii="Arial" w:eastAsia="Times New Roman" w:hAnsi="Arial" w:cs="Arial"/>
          <w:color w:val="000000"/>
        </w:rPr>
        <w:t>The EDAM Entity</w:t>
      </w:r>
      <w:r w:rsidRPr="00957E85">
        <w:rPr>
          <w:rFonts w:ascii="Arial" w:eastAsia="Times New Roman" w:hAnsi="Arial" w:cs="Arial"/>
          <w:color w:val="000000"/>
        </w:rPr>
        <w:t xml:space="preserve"> </w:t>
      </w:r>
      <w:r>
        <w:rPr>
          <w:rFonts w:ascii="Arial" w:eastAsia="Times New Roman" w:hAnsi="Arial" w:cs="Arial"/>
          <w:color w:val="000000"/>
        </w:rPr>
        <w:t>will</w:t>
      </w:r>
      <w:r w:rsidRPr="00957E85">
        <w:rPr>
          <w:rFonts w:ascii="Arial" w:eastAsia="Times New Roman" w:hAnsi="Arial" w:cs="Arial"/>
          <w:color w:val="000000"/>
        </w:rPr>
        <w:t xml:space="preserve"> notify </w:t>
      </w:r>
      <w:r>
        <w:rPr>
          <w:rFonts w:ascii="Arial" w:eastAsia="Times New Roman" w:hAnsi="Arial" w:cs="Arial"/>
          <w:color w:val="000000"/>
        </w:rPr>
        <w:t>CAISO</w:t>
      </w:r>
      <w:r w:rsidRPr="00957E85">
        <w:rPr>
          <w:rFonts w:ascii="Arial" w:eastAsia="Times New Roman" w:hAnsi="Arial" w:cs="Arial"/>
          <w:color w:val="000000"/>
        </w:rPr>
        <w:t xml:space="preserve"> in writing 90 calendar days prior to when the </w:t>
      </w:r>
      <w:r>
        <w:rPr>
          <w:rFonts w:ascii="Arial" w:eastAsia="Times New Roman" w:hAnsi="Arial" w:cs="Arial"/>
          <w:color w:val="000000"/>
        </w:rPr>
        <w:t>EDAM Entity</w:t>
      </w:r>
      <w:r w:rsidRPr="00957E85">
        <w:rPr>
          <w:rFonts w:ascii="Arial" w:eastAsia="Times New Roman" w:hAnsi="Arial" w:cs="Arial"/>
          <w:color w:val="000000"/>
        </w:rPr>
        <w:t xml:space="preserve"> wants to start the </w:t>
      </w:r>
      <w:r>
        <w:rPr>
          <w:rFonts w:ascii="Arial" w:eastAsia="Times New Roman" w:hAnsi="Arial" w:cs="Arial"/>
          <w:color w:val="000000"/>
        </w:rPr>
        <w:t>DAC</w:t>
      </w:r>
      <w:r w:rsidRPr="00957E85">
        <w:rPr>
          <w:rFonts w:ascii="Arial" w:eastAsia="Times New Roman" w:hAnsi="Arial" w:cs="Arial"/>
          <w:color w:val="000000"/>
        </w:rPr>
        <w:t xml:space="preserve">A services it elects by </w:t>
      </w:r>
      <w:r>
        <w:rPr>
          <w:rFonts w:ascii="Arial" w:eastAsia="Times New Roman" w:hAnsi="Arial" w:cs="Arial"/>
          <w:color w:val="000000"/>
        </w:rPr>
        <w:t>submitting</w:t>
      </w:r>
      <w:r w:rsidRPr="00957E85">
        <w:rPr>
          <w:rFonts w:ascii="Arial" w:eastAsia="Times New Roman" w:hAnsi="Arial" w:cs="Arial"/>
          <w:color w:val="000000"/>
        </w:rPr>
        <w:t xml:space="preserve"> </w:t>
      </w:r>
      <w:r>
        <w:rPr>
          <w:rFonts w:ascii="Arial" w:eastAsia="Times New Roman" w:hAnsi="Arial" w:cs="Arial"/>
          <w:color w:val="000000"/>
        </w:rPr>
        <w:t>a CIDI ticket in the Market Participant Portal</w:t>
      </w:r>
      <w:r w:rsidRPr="00957E85">
        <w:rPr>
          <w:rFonts w:ascii="Arial" w:eastAsia="Times New Roman" w:hAnsi="Arial" w:cs="Arial"/>
          <w:color w:val="000000"/>
        </w:rPr>
        <w:t xml:space="preserve">.  </w:t>
      </w:r>
      <w:r>
        <w:rPr>
          <w:rFonts w:ascii="Arial" w:eastAsia="Times New Roman" w:hAnsi="Arial" w:cs="Arial"/>
          <w:color w:val="000000"/>
        </w:rPr>
        <w:t>Likewise, i</w:t>
      </w:r>
      <w:r w:rsidRPr="00957E85">
        <w:rPr>
          <w:rFonts w:ascii="Arial" w:eastAsia="Times New Roman" w:hAnsi="Arial" w:cs="Arial"/>
          <w:color w:val="000000"/>
        </w:rPr>
        <w:t xml:space="preserve">f the </w:t>
      </w:r>
      <w:r>
        <w:rPr>
          <w:rFonts w:ascii="Arial" w:eastAsia="Times New Roman" w:hAnsi="Arial" w:cs="Arial"/>
          <w:color w:val="000000"/>
        </w:rPr>
        <w:t>EDAM Entity</w:t>
      </w:r>
      <w:r w:rsidRPr="00957E85">
        <w:rPr>
          <w:rFonts w:ascii="Arial" w:eastAsia="Times New Roman" w:hAnsi="Arial" w:cs="Arial"/>
          <w:color w:val="000000"/>
        </w:rPr>
        <w:t xml:space="preserve"> wants to add, remove or modify their </w:t>
      </w:r>
      <w:r>
        <w:rPr>
          <w:rFonts w:ascii="Arial" w:eastAsia="Times New Roman" w:hAnsi="Arial" w:cs="Arial"/>
          <w:color w:val="000000"/>
        </w:rPr>
        <w:t>DAC</w:t>
      </w:r>
      <w:r w:rsidRPr="00957E85">
        <w:rPr>
          <w:rFonts w:ascii="Arial" w:eastAsia="Times New Roman" w:hAnsi="Arial" w:cs="Arial"/>
          <w:color w:val="000000"/>
        </w:rPr>
        <w:t xml:space="preserve">A </w:t>
      </w:r>
      <w:r>
        <w:rPr>
          <w:rFonts w:ascii="Arial" w:eastAsia="Times New Roman" w:hAnsi="Arial" w:cs="Arial"/>
          <w:color w:val="000000"/>
        </w:rPr>
        <w:t>s</w:t>
      </w:r>
      <w:r w:rsidRPr="00957E85">
        <w:rPr>
          <w:rFonts w:ascii="Arial" w:eastAsia="Times New Roman" w:hAnsi="Arial" w:cs="Arial"/>
          <w:color w:val="000000"/>
        </w:rPr>
        <w:t>ervice</w:t>
      </w:r>
      <w:r>
        <w:rPr>
          <w:rFonts w:ascii="Arial" w:eastAsia="Times New Roman" w:hAnsi="Arial" w:cs="Arial"/>
          <w:color w:val="000000"/>
        </w:rPr>
        <w:t>s</w:t>
      </w:r>
      <w:r w:rsidRPr="00957E85">
        <w:rPr>
          <w:rFonts w:ascii="Arial" w:eastAsia="Times New Roman" w:hAnsi="Arial" w:cs="Arial"/>
          <w:color w:val="000000"/>
        </w:rPr>
        <w:t xml:space="preserve">, they should </w:t>
      </w:r>
      <w:r>
        <w:rPr>
          <w:rFonts w:ascii="Arial" w:eastAsia="Times New Roman" w:hAnsi="Arial" w:cs="Arial"/>
          <w:color w:val="000000"/>
        </w:rPr>
        <w:t>submit a CIDI ticket in the Market Participant Portal</w:t>
      </w:r>
      <w:r w:rsidRPr="00957E85">
        <w:rPr>
          <w:rFonts w:ascii="Arial" w:eastAsia="Times New Roman" w:hAnsi="Arial" w:cs="Arial"/>
          <w:color w:val="000000"/>
        </w:rPr>
        <w:t>.</w:t>
      </w:r>
    </w:p>
    <w:p w14:paraId="05F65820" w14:textId="25B51A6A" w:rsidR="00CF5F0A" w:rsidRDefault="00CF5F0A" w:rsidP="00CF5F0A">
      <w:pPr>
        <w:spacing w:after="240" w:line="300" w:lineRule="auto"/>
        <w:jc w:val="both"/>
        <w:rPr>
          <w:rFonts w:ascii="Arial" w:eastAsia="Times New Roman" w:hAnsi="Arial" w:cs="Arial"/>
          <w:color w:val="000000"/>
        </w:rPr>
      </w:pPr>
      <w:r>
        <w:rPr>
          <w:rFonts w:ascii="Arial" w:eastAsia="Times New Roman" w:hAnsi="Arial" w:cs="Arial"/>
          <w:color w:val="000000"/>
        </w:rPr>
        <w:t>DACA services</w:t>
      </w:r>
      <w:r w:rsidRPr="00957E85">
        <w:rPr>
          <w:rFonts w:ascii="Arial" w:eastAsia="Times New Roman" w:hAnsi="Arial" w:cs="Arial"/>
          <w:color w:val="000000"/>
        </w:rPr>
        <w:t xml:space="preserve"> require a </w:t>
      </w:r>
      <w:r w:rsidR="003F76EC">
        <w:rPr>
          <w:rFonts w:ascii="Arial" w:eastAsia="Times New Roman" w:hAnsi="Arial" w:cs="Arial"/>
          <w:color w:val="000000"/>
        </w:rPr>
        <w:t>three-year</w:t>
      </w:r>
      <w:r w:rsidRPr="00957E85">
        <w:rPr>
          <w:rFonts w:ascii="Arial" w:eastAsia="Times New Roman" w:hAnsi="Arial" w:cs="Arial"/>
          <w:color w:val="000000"/>
        </w:rPr>
        <w:t xml:space="preserve"> initial commitment.  The initial </w:t>
      </w:r>
      <w:r w:rsidR="003F76EC">
        <w:rPr>
          <w:rFonts w:ascii="Arial" w:eastAsia="Times New Roman" w:hAnsi="Arial" w:cs="Arial"/>
          <w:color w:val="000000"/>
        </w:rPr>
        <w:t>three-year</w:t>
      </w:r>
      <w:r w:rsidRPr="00957E85">
        <w:rPr>
          <w:rFonts w:ascii="Arial" w:eastAsia="Times New Roman" w:hAnsi="Arial" w:cs="Arial"/>
          <w:color w:val="000000"/>
        </w:rPr>
        <w:t xml:space="preserve"> cost will include a one-time start-up fee and an annual ongoing fee for the software license and CAISO support.</w:t>
      </w:r>
    </w:p>
    <w:p w14:paraId="569F7228" w14:textId="77777777" w:rsidR="00CF5F0A" w:rsidRPr="00D869C6" w:rsidRDefault="00CF5F0A" w:rsidP="00CF5F0A">
      <w:pPr>
        <w:spacing w:after="240" w:line="300" w:lineRule="auto"/>
        <w:jc w:val="both"/>
        <w:rPr>
          <w:rFonts w:ascii="Arial" w:eastAsia="Times New Roman" w:hAnsi="Arial" w:cs="Arial"/>
          <w:color w:val="000000"/>
        </w:rPr>
      </w:pPr>
      <w:r w:rsidRPr="005F450D">
        <w:rPr>
          <w:rFonts w:ascii="Arial" w:eastAsia="Times New Roman" w:hAnsi="Arial" w:cs="Arial"/>
          <w:color w:val="000000"/>
        </w:rPr>
        <w:t xml:space="preserve">CAISO will invoice the EDAM Entity for DACA services 21 </w:t>
      </w:r>
      <w:r>
        <w:rPr>
          <w:rFonts w:ascii="Arial" w:eastAsia="Times New Roman" w:hAnsi="Arial" w:cs="Arial"/>
          <w:color w:val="000000"/>
        </w:rPr>
        <w:t>b</w:t>
      </w:r>
      <w:r w:rsidRPr="005F450D">
        <w:rPr>
          <w:rFonts w:ascii="Arial" w:eastAsia="Times New Roman" w:hAnsi="Arial" w:cs="Arial"/>
          <w:color w:val="000000"/>
        </w:rPr>
        <w:t xml:space="preserve">usiness </w:t>
      </w:r>
      <w:r>
        <w:rPr>
          <w:rFonts w:ascii="Arial" w:eastAsia="Times New Roman" w:hAnsi="Arial" w:cs="Arial"/>
          <w:color w:val="000000"/>
        </w:rPr>
        <w:t>d</w:t>
      </w:r>
      <w:r w:rsidRPr="005F450D">
        <w:rPr>
          <w:rFonts w:ascii="Arial" w:eastAsia="Times New Roman" w:hAnsi="Arial" w:cs="Arial"/>
          <w:color w:val="000000"/>
        </w:rPr>
        <w:t xml:space="preserve">ays prior to the </w:t>
      </w:r>
      <w:r>
        <w:rPr>
          <w:rFonts w:ascii="Arial" w:eastAsia="Times New Roman" w:hAnsi="Arial" w:cs="Arial"/>
          <w:color w:val="000000"/>
        </w:rPr>
        <w:t>EDAM Entity’s first day of receiving DACA services</w:t>
      </w:r>
      <w:r w:rsidRPr="005F450D">
        <w:rPr>
          <w:rFonts w:ascii="Arial" w:eastAsia="Times New Roman" w:hAnsi="Arial" w:cs="Arial"/>
          <w:color w:val="000000"/>
        </w:rPr>
        <w:t>.</w:t>
      </w:r>
      <w:r>
        <w:rPr>
          <w:rFonts w:ascii="Arial" w:eastAsia="Times New Roman" w:hAnsi="Arial" w:cs="Arial"/>
          <w:color w:val="000000"/>
        </w:rPr>
        <w:t xml:space="preserve">  </w:t>
      </w:r>
      <w:r w:rsidRPr="006B4513">
        <w:rPr>
          <w:rFonts w:ascii="Arial" w:eastAsia="Times New Roman" w:hAnsi="Arial" w:cs="Arial"/>
          <w:color w:val="000000"/>
        </w:rPr>
        <w:t>Payment will be due 21 business days from the date of the invoice.</w:t>
      </w:r>
      <w:r>
        <w:rPr>
          <w:rFonts w:ascii="Arial" w:eastAsia="Times New Roman" w:hAnsi="Arial" w:cs="Arial"/>
          <w:color w:val="000000"/>
        </w:rPr>
        <w:t xml:space="preserve">  Going forward, </w:t>
      </w:r>
      <w:r w:rsidRPr="005F450D">
        <w:rPr>
          <w:rFonts w:ascii="Arial" w:eastAsia="Times New Roman" w:hAnsi="Arial" w:cs="Arial"/>
          <w:color w:val="000000"/>
        </w:rPr>
        <w:t xml:space="preserve">CAISO will annually invoice the EDAM Entity 21 </w:t>
      </w:r>
      <w:r>
        <w:rPr>
          <w:rFonts w:ascii="Arial" w:eastAsia="Times New Roman" w:hAnsi="Arial" w:cs="Arial"/>
          <w:color w:val="000000"/>
        </w:rPr>
        <w:t>b</w:t>
      </w:r>
      <w:r w:rsidRPr="005F450D">
        <w:rPr>
          <w:rFonts w:ascii="Arial" w:eastAsia="Times New Roman" w:hAnsi="Arial" w:cs="Arial"/>
          <w:color w:val="000000"/>
        </w:rPr>
        <w:t xml:space="preserve">usiness </w:t>
      </w:r>
      <w:r>
        <w:rPr>
          <w:rFonts w:ascii="Arial" w:eastAsia="Times New Roman" w:hAnsi="Arial" w:cs="Arial"/>
          <w:color w:val="000000"/>
        </w:rPr>
        <w:t>d</w:t>
      </w:r>
      <w:r w:rsidRPr="005F450D">
        <w:rPr>
          <w:rFonts w:ascii="Arial" w:eastAsia="Times New Roman" w:hAnsi="Arial" w:cs="Arial"/>
          <w:color w:val="000000"/>
        </w:rPr>
        <w:t xml:space="preserve">ays prior to </w:t>
      </w:r>
      <w:r>
        <w:rPr>
          <w:rFonts w:ascii="Arial" w:eastAsia="Times New Roman" w:hAnsi="Arial" w:cs="Arial"/>
          <w:color w:val="000000"/>
        </w:rPr>
        <w:t xml:space="preserve">the </w:t>
      </w:r>
      <w:r w:rsidRPr="00CD6102">
        <w:rPr>
          <w:rFonts w:ascii="Arial" w:eastAsia="Times New Roman" w:hAnsi="Arial" w:cs="Arial"/>
          <w:color w:val="000000"/>
        </w:rPr>
        <w:t xml:space="preserve">Annual Billing Period, which will be </w:t>
      </w:r>
      <w:r>
        <w:rPr>
          <w:rFonts w:ascii="Arial" w:eastAsia="Times New Roman" w:hAnsi="Arial" w:cs="Arial"/>
          <w:color w:val="000000"/>
        </w:rPr>
        <w:t>September</w:t>
      </w:r>
      <w:r w:rsidRPr="00CD6102">
        <w:rPr>
          <w:rFonts w:ascii="Arial" w:eastAsia="Times New Roman" w:hAnsi="Arial" w:cs="Arial"/>
          <w:color w:val="000000"/>
        </w:rPr>
        <w:t xml:space="preserve"> 1 through </w:t>
      </w:r>
      <w:r>
        <w:rPr>
          <w:rFonts w:ascii="Arial" w:eastAsia="Times New Roman" w:hAnsi="Arial" w:cs="Arial"/>
          <w:color w:val="000000"/>
        </w:rPr>
        <w:t>August</w:t>
      </w:r>
      <w:r w:rsidRPr="00CD6102">
        <w:rPr>
          <w:rFonts w:ascii="Arial" w:eastAsia="Times New Roman" w:hAnsi="Arial" w:cs="Arial"/>
          <w:color w:val="000000"/>
        </w:rPr>
        <w:t xml:space="preserve"> 3</w:t>
      </w:r>
      <w:r>
        <w:rPr>
          <w:rFonts w:ascii="Arial" w:eastAsia="Times New Roman" w:hAnsi="Arial" w:cs="Arial"/>
          <w:color w:val="000000"/>
        </w:rPr>
        <w:t>1</w:t>
      </w:r>
      <w:r w:rsidRPr="00D869C6">
        <w:rPr>
          <w:rFonts w:ascii="Arial" w:eastAsia="Times New Roman" w:hAnsi="Arial" w:cs="Arial"/>
          <w:color w:val="000000"/>
        </w:rPr>
        <w:t>.</w:t>
      </w:r>
    </w:p>
    <w:p w14:paraId="3DEB3AA7" w14:textId="77777777" w:rsidR="00CF5F0A" w:rsidRPr="00D869C6" w:rsidRDefault="00CF5F0A" w:rsidP="00CF5F0A">
      <w:pPr>
        <w:spacing w:after="240" w:line="300" w:lineRule="auto"/>
        <w:jc w:val="both"/>
        <w:rPr>
          <w:rFonts w:ascii="Arial" w:eastAsia="Times New Roman" w:hAnsi="Arial" w:cs="Arial"/>
          <w:color w:val="000000"/>
        </w:rPr>
      </w:pPr>
      <w:r w:rsidRPr="00D869C6">
        <w:rPr>
          <w:rFonts w:ascii="Arial" w:eastAsia="Times New Roman" w:hAnsi="Arial" w:cs="Arial"/>
          <w:color w:val="000000"/>
        </w:rPr>
        <w:t>The EDAM Entity will notify CAISO in writing 90 calendar days in advance of the Annual Billing Period as to which DACA services it is electing to take for the following calendar year.  If the EDAM Entity does not provide such notice to CAISO 90 calendar days in advance of the Annual Billing Period, CAISO will continue to provide the EDAM Entity with the same DACA services it is providing to the EDAM Entity during the then Annual Billing Period.</w:t>
      </w:r>
    </w:p>
    <w:p w14:paraId="0435F582" w14:textId="6A85E427" w:rsidR="00CF5F0A" w:rsidRPr="00D869C6" w:rsidRDefault="00CF5F0A" w:rsidP="00CF5F0A">
      <w:pPr>
        <w:autoSpaceDE w:val="0"/>
        <w:autoSpaceDN w:val="0"/>
        <w:adjustRightInd w:val="0"/>
        <w:spacing w:after="240" w:line="276" w:lineRule="auto"/>
        <w:jc w:val="both"/>
        <w:rPr>
          <w:rFonts w:ascii="Arial" w:eastAsia="Times New Roman" w:hAnsi="Arial" w:cs="Arial"/>
          <w:color w:val="000000"/>
        </w:rPr>
      </w:pPr>
      <w:r w:rsidRPr="00D869C6">
        <w:rPr>
          <w:rFonts w:ascii="Arial" w:eastAsia="Times New Roman" w:hAnsi="Arial" w:cs="Arial"/>
          <w:color w:val="000000"/>
        </w:rPr>
        <w:t>Annual enrollment in DACA services will continue unless the EDAM Entity submits a 12-month termination notice in writing to the CAISO</w:t>
      </w:r>
      <w:r>
        <w:rPr>
          <w:rFonts w:ascii="Arial" w:eastAsia="Times New Roman" w:hAnsi="Arial" w:cs="Arial"/>
          <w:color w:val="000000"/>
        </w:rPr>
        <w:t xml:space="preserve">. After conclusion of the initial </w:t>
      </w:r>
      <w:r w:rsidR="003F76EC">
        <w:rPr>
          <w:rFonts w:ascii="Arial" w:eastAsia="Times New Roman" w:hAnsi="Arial" w:cs="Arial"/>
          <w:color w:val="000000"/>
        </w:rPr>
        <w:t>three-year</w:t>
      </w:r>
      <w:r>
        <w:rPr>
          <w:rFonts w:ascii="Arial" w:eastAsia="Times New Roman" w:hAnsi="Arial" w:cs="Arial"/>
          <w:color w:val="000000"/>
        </w:rPr>
        <w:t xml:space="preserve"> commitment, t</w:t>
      </w:r>
      <w:r w:rsidRPr="00D869C6">
        <w:rPr>
          <w:rFonts w:ascii="Arial" w:eastAsia="Times New Roman" w:hAnsi="Arial" w:cs="Arial"/>
          <w:color w:val="000000"/>
        </w:rPr>
        <w:t>he termination notice must align with the commencement of the Annual Billing Period.</w:t>
      </w:r>
    </w:p>
    <w:p w14:paraId="581E197B" w14:textId="2E607202" w:rsidR="00E66F21" w:rsidRPr="00746F54" w:rsidRDefault="00E66F21" w:rsidP="002E7413">
      <w:pPr>
        <w:pStyle w:val="Heading2"/>
        <w:numPr>
          <w:ilvl w:val="2"/>
          <w:numId w:val="63"/>
        </w:numPr>
        <w:rPr>
          <w:rFonts w:ascii="Arial" w:hAnsi="Arial" w:cs="Arial"/>
        </w:rPr>
      </w:pPr>
      <w:bookmarkStart w:id="301" w:name="_Toc228963765"/>
      <w:r w:rsidRPr="00746F54">
        <w:rPr>
          <w:rFonts w:ascii="Arial" w:hAnsi="Arial" w:cs="Arial"/>
        </w:rPr>
        <w:t>Extended Day-Ahead Market Elements</w:t>
      </w:r>
      <w:bookmarkEnd w:id="298"/>
      <w:bookmarkEnd w:id="301"/>
      <w:r w:rsidRPr="00746F54">
        <w:rPr>
          <w:rFonts w:ascii="Arial" w:hAnsi="Arial" w:cs="Arial"/>
        </w:rPr>
        <w:t xml:space="preserve"> </w:t>
      </w:r>
    </w:p>
    <w:p w14:paraId="6FC667D5" w14:textId="66844F6E" w:rsidR="00E66F21" w:rsidRPr="00746F54" w:rsidRDefault="00E66F21" w:rsidP="003B1D4E">
      <w:pPr>
        <w:pStyle w:val="ListParagraph"/>
        <w:spacing w:line="360" w:lineRule="auto"/>
        <w:ind w:left="0"/>
        <w:contextualSpacing/>
        <w:rPr>
          <w:rFonts w:ascii="Arial" w:hAnsi="Arial" w:cs="Arial"/>
        </w:rPr>
      </w:pPr>
      <w:proofErr w:type="spellStart"/>
      <w:r w:rsidRPr="00746F54">
        <w:rPr>
          <w:rFonts w:ascii="Arial" w:hAnsi="Arial" w:cs="Arial"/>
          <w:b/>
        </w:rPr>
        <w:t>Flowgates</w:t>
      </w:r>
      <w:proofErr w:type="spellEnd"/>
      <w:r w:rsidRPr="00746F54">
        <w:rPr>
          <w:rFonts w:ascii="Arial" w:hAnsi="Arial" w:cs="Arial"/>
        </w:rPr>
        <w:t xml:space="preserve"> – </w:t>
      </w:r>
      <w:proofErr w:type="spellStart"/>
      <w:r w:rsidRPr="00746F54">
        <w:rPr>
          <w:rFonts w:ascii="Arial" w:hAnsi="Arial" w:cs="Arial"/>
        </w:rPr>
        <w:t>Flowgates</w:t>
      </w:r>
      <w:proofErr w:type="spellEnd"/>
      <w:r w:rsidRPr="00746F54">
        <w:rPr>
          <w:rFonts w:ascii="Arial" w:hAnsi="Arial" w:cs="Arial"/>
        </w:rPr>
        <w:t xml:space="preserve"> are a market constraint that model a limit on a particular element of the transmission system (line segment or transformer).  If a specific </w:t>
      </w:r>
      <w:proofErr w:type="spellStart"/>
      <w:r w:rsidRPr="00746F54">
        <w:rPr>
          <w:rFonts w:ascii="Arial" w:hAnsi="Arial" w:cs="Arial"/>
        </w:rPr>
        <w:t>flowgate</w:t>
      </w:r>
      <w:proofErr w:type="spellEnd"/>
      <w:r w:rsidRPr="00746F54">
        <w:rPr>
          <w:rFonts w:ascii="Arial" w:hAnsi="Arial" w:cs="Arial"/>
        </w:rPr>
        <w:t xml:space="preserve"> is set to active for the </w:t>
      </w:r>
      <w:r w:rsidRPr="00746F54">
        <w:rPr>
          <w:rFonts w:ascii="Arial" w:hAnsi="Arial" w:cs="Arial"/>
        </w:rPr>
        <w:lastRenderedPageBreak/>
        <w:t xml:space="preserve">EDAM run then flow across that element will be limited.  Each </w:t>
      </w:r>
      <w:proofErr w:type="spellStart"/>
      <w:r w:rsidRPr="00746F54">
        <w:rPr>
          <w:rFonts w:ascii="Arial" w:hAnsi="Arial" w:cs="Arial"/>
        </w:rPr>
        <w:t>flowgate</w:t>
      </w:r>
      <w:proofErr w:type="spellEnd"/>
      <w:r w:rsidRPr="00746F54">
        <w:rPr>
          <w:rFonts w:ascii="Arial" w:hAnsi="Arial" w:cs="Arial"/>
        </w:rPr>
        <w:t xml:space="preserve"> has a normal and emergency limit. The pre-contingent flow across the element will be limited to the normal limit, while the post-contingent flow will be constrained to the emergency limit.  Activation status in an OMS card can allow enforcement for only a specific timeframe corresponding to the outage condition. EDAM entities can also request a </w:t>
      </w:r>
      <w:proofErr w:type="spellStart"/>
      <w:r w:rsidRPr="00746F54">
        <w:rPr>
          <w:rFonts w:ascii="Arial" w:hAnsi="Arial" w:cs="Arial"/>
        </w:rPr>
        <w:t>flowgate</w:t>
      </w:r>
      <w:proofErr w:type="spellEnd"/>
      <w:r w:rsidRPr="00746F54">
        <w:rPr>
          <w:rFonts w:ascii="Arial" w:hAnsi="Arial" w:cs="Arial"/>
        </w:rPr>
        <w:t xml:space="preserve"> to be </w:t>
      </w:r>
      <w:proofErr w:type="gramStart"/>
      <w:r w:rsidRPr="00746F54">
        <w:rPr>
          <w:rFonts w:ascii="Arial" w:hAnsi="Arial" w:cs="Arial"/>
        </w:rPr>
        <w:t>enforced at all times</w:t>
      </w:r>
      <w:proofErr w:type="gramEnd"/>
      <w:r w:rsidRPr="00746F54">
        <w:rPr>
          <w:rFonts w:ascii="Arial" w:hAnsi="Arial" w:cs="Arial"/>
        </w:rPr>
        <w:t xml:space="preserve"> based on their engineering studies or operational experience.</w:t>
      </w:r>
    </w:p>
    <w:p w14:paraId="298A3803" w14:textId="77777777" w:rsidR="00E66F21" w:rsidRPr="00746F54" w:rsidRDefault="00E66F21" w:rsidP="003B1D4E">
      <w:pPr>
        <w:pStyle w:val="ListParagraph"/>
        <w:spacing w:line="360" w:lineRule="auto"/>
        <w:ind w:left="0"/>
        <w:contextualSpacing/>
        <w:rPr>
          <w:rFonts w:ascii="Arial" w:hAnsi="Arial" w:cs="Arial"/>
        </w:rPr>
      </w:pPr>
    </w:p>
    <w:p w14:paraId="5753A557" w14:textId="31290C2A" w:rsidR="00E66F21" w:rsidRPr="00746F54" w:rsidRDefault="00E66F21" w:rsidP="003B1D4E">
      <w:pPr>
        <w:pStyle w:val="ListParagraph"/>
        <w:spacing w:line="360" w:lineRule="auto"/>
        <w:ind w:left="0"/>
        <w:contextualSpacing/>
        <w:rPr>
          <w:rFonts w:ascii="Arial" w:hAnsi="Arial" w:cs="Arial"/>
        </w:rPr>
      </w:pPr>
      <w:r w:rsidRPr="00746F54">
        <w:rPr>
          <w:rFonts w:ascii="Arial" w:hAnsi="Arial" w:cs="Arial"/>
          <w:b/>
        </w:rPr>
        <w:t>Contingencies</w:t>
      </w:r>
      <w:r w:rsidRPr="00746F54">
        <w:rPr>
          <w:rFonts w:ascii="Arial" w:hAnsi="Arial" w:cs="Arial"/>
        </w:rPr>
        <w:t xml:space="preserve"> – Contingencies are activated similarly to </w:t>
      </w:r>
      <w:proofErr w:type="spellStart"/>
      <w:r w:rsidRPr="00746F54">
        <w:rPr>
          <w:rFonts w:ascii="Arial" w:hAnsi="Arial" w:cs="Arial"/>
        </w:rPr>
        <w:t>flowgates</w:t>
      </w:r>
      <w:proofErr w:type="spellEnd"/>
      <w:r w:rsidRPr="00746F54">
        <w:rPr>
          <w:rFonts w:ascii="Arial" w:hAnsi="Arial" w:cs="Arial"/>
        </w:rPr>
        <w:t xml:space="preserve"> to control N-1 flows through market congestion.  Note that in the EDAM case that any active contingency that causes an overload on an activated </w:t>
      </w:r>
      <w:proofErr w:type="spellStart"/>
      <w:r w:rsidRPr="00746F54">
        <w:rPr>
          <w:rFonts w:ascii="Arial" w:hAnsi="Arial" w:cs="Arial"/>
        </w:rPr>
        <w:t>flowgate</w:t>
      </w:r>
      <w:proofErr w:type="spellEnd"/>
      <w:r w:rsidRPr="00746F54">
        <w:rPr>
          <w:rFonts w:ascii="Arial" w:hAnsi="Arial" w:cs="Arial"/>
        </w:rPr>
        <w:t xml:space="preserve"> will be mitigated by the market, which may not be the combination of </w:t>
      </w:r>
      <w:proofErr w:type="spellStart"/>
      <w:r w:rsidRPr="00746F54">
        <w:rPr>
          <w:rFonts w:ascii="Arial" w:hAnsi="Arial" w:cs="Arial"/>
        </w:rPr>
        <w:t>flowgate</w:t>
      </w:r>
      <w:proofErr w:type="spellEnd"/>
      <w:r w:rsidRPr="00746F54">
        <w:rPr>
          <w:rFonts w:ascii="Arial" w:hAnsi="Arial" w:cs="Arial"/>
        </w:rPr>
        <w:t xml:space="preserve"> and contingency that the EDAM entity intended.  For this reason, it is very important to ensure that the activation contingency is valid during the active </w:t>
      </w:r>
      <w:proofErr w:type="gramStart"/>
      <w:r w:rsidRPr="00746F54">
        <w:rPr>
          <w:rFonts w:ascii="Arial" w:hAnsi="Arial" w:cs="Arial"/>
        </w:rPr>
        <w:t>time period</w:t>
      </w:r>
      <w:proofErr w:type="gramEnd"/>
      <w:r w:rsidRPr="00746F54">
        <w:rPr>
          <w:rFonts w:ascii="Arial" w:hAnsi="Arial" w:cs="Arial"/>
        </w:rPr>
        <w:t xml:space="preserve"> and does not violate any of the guidelines such as causing RAS activation or dropping load or generation as part of the definition.  There are technical limitations on the total number of active </w:t>
      </w:r>
      <w:proofErr w:type="spellStart"/>
      <w:r w:rsidRPr="00746F54">
        <w:rPr>
          <w:rFonts w:ascii="Arial" w:hAnsi="Arial" w:cs="Arial"/>
        </w:rPr>
        <w:t>flowgates</w:t>
      </w:r>
      <w:proofErr w:type="spellEnd"/>
      <w:r w:rsidRPr="00746F54">
        <w:rPr>
          <w:rFonts w:ascii="Arial" w:hAnsi="Arial" w:cs="Arial"/>
        </w:rPr>
        <w:t xml:space="preserve"> in EDAM and RTM for performance, which is addressed by the market operator via the Centralized and Coordinated Constraint Management (CCCM) process.</w:t>
      </w:r>
    </w:p>
    <w:p w14:paraId="3EFAEBAC" w14:textId="0EC475B6" w:rsidR="00E66F21" w:rsidRPr="00746F54" w:rsidRDefault="00E66F21" w:rsidP="003B1D4E">
      <w:pPr>
        <w:pStyle w:val="ListParagraph"/>
        <w:spacing w:line="360" w:lineRule="auto"/>
        <w:ind w:left="0"/>
        <w:contextualSpacing/>
        <w:rPr>
          <w:rFonts w:ascii="Arial" w:hAnsi="Arial" w:cs="Arial"/>
        </w:rPr>
      </w:pPr>
      <w:r w:rsidRPr="00746F54">
        <w:rPr>
          <w:rFonts w:ascii="Arial" w:hAnsi="Arial" w:cs="Arial"/>
          <w:b/>
        </w:rPr>
        <w:t>Nomograms</w:t>
      </w:r>
      <w:r w:rsidRPr="00746F54">
        <w:rPr>
          <w:rFonts w:ascii="Arial" w:hAnsi="Arial" w:cs="Arial"/>
        </w:rPr>
        <w:t xml:space="preserve"> – Nomograms are created to control flows with market congestion for constraints that require more complex modeling than can be modeled with </w:t>
      </w:r>
      <w:proofErr w:type="spellStart"/>
      <w:r w:rsidRPr="00746F54">
        <w:rPr>
          <w:rFonts w:ascii="Arial" w:hAnsi="Arial" w:cs="Arial"/>
        </w:rPr>
        <w:t>flowgates</w:t>
      </w:r>
      <w:proofErr w:type="spellEnd"/>
      <w:r w:rsidRPr="00746F54">
        <w:rPr>
          <w:rFonts w:ascii="Arial" w:hAnsi="Arial" w:cs="Arial"/>
        </w:rPr>
        <w:t xml:space="preserve"> and contingencies.  A nomogram can be used to take RAS action into account for a constraint, however it is based on static distribution factors and limit, </w:t>
      </w:r>
      <w:proofErr w:type="gramStart"/>
      <w:r w:rsidRPr="00746F54">
        <w:rPr>
          <w:rFonts w:ascii="Arial" w:hAnsi="Arial" w:cs="Arial"/>
        </w:rPr>
        <w:t>so</w:t>
      </w:r>
      <w:proofErr w:type="gramEnd"/>
      <w:r w:rsidRPr="00746F54">
        <w:rPr>
          <w:rFonts w:ascii="Arial" w:hAnsi="Arial" w:cs="Arial"/>
        </w:rPr>
        <w:t xml:space="preserve"> is only applicable to a defined outage scenario.  These must be predefined in coordination with the market operator and may require additional modeling changes to accommodate.  </w:t>
      </w:r>
    </w:p>
    <w:p w14:paraId="3B3002FF" w14:textId="77777777" w:rsidR="00E66F21" w:rsidRPr="00746F54" w:rsidRDefault="00E66F21" w:rsidP="003B1D4E">
      <w:pPr>
        <w:spacing w:line="360" w:lineRule="auto"/>
        <w:rPr>
          <w:rFonts w:ascii="Arial" w:hAnsi="Arial" w:cs="Arial"/>
        </w:rPr>
      </w:pPr>
      <m:oMathPara>
        <m:oMath>
          <m:r>
            <w:rPr>
              <w:rFonts w:ascii="Cambria Math" w:hAnsi="Cambria Math" w:cs="Arial"/>
            </w:rPr>
            <m:t>1.0</m:t>
          </m:r>
          <m:d>
            <m:dPr>
              <m:ctrlPr>
                <w:rPr>
                  <w:rFonts w:ascii="Cambria Math" w:hAnsi="Cambria Math" w:cs="Arial"/>
                  <w:i/>
                </w:rPr>
              </m:ctrlPr>
            </m:dPr>
            <m:e>
              <m:r>
                <w:rPr>
                  <w:rFonts w:ascii="Cambria Math" w:hAnsi="Cambria Math" w:cs="Arial"/>
                </w:rPr>
                <m:t>Lin</m:t>
              </m:r>
              <m:sSub>
                <m:sSubPr>
                  <m:ctrlPr>
                    <w:rPr>
                      <w:rFonts w:ascii="Cambria Math" w:hAnsi="Cambria Math" w:cs="Arial"/>
                      <w:i/>
                    </w:rPr>
                  </m:ctrlPr>
                </m:sSubPr>
                <m:e>
                  <m:r>
                    <w:rPr>
                      <w:rFonts w:ascii="Cambria Math" w:hAnsi="Cambria Math" w:cs="Arial"/>
                    </w:rPr>
                    <m:t>e</m:t>
                  </m:r>
                </m:e>
                <m:sub>
                  <m:r>
                    <w:rPr>
                      <w:rFonts w:ascii="Cambria Math" w:hAnsi="Cambria Math" w:cs="Arial"/>
                    </w:rPr>
                    <m:t>1</m:t>
                  </m:r>
                </m:sub>
              </m:sSub>
            </m:e>
          </m:d>
          <m:r>
            <w:rPr>
              <w:rFonts w:ascii="Cambria Math" w:hAnsi="Cambria Math" w:cs="Arial"/>
            </w:rPr>
            <m:t>+0.70</m:t>
          </m:r>
          <m:d>
            <m:dPr>
              <m:ctrlPr>
                <w:rPr>
                  <w:rFonts w:ascii="Cambria Math" w:hAnsi="Cambria Math" w:cs="Arial"/>
                  <w:i/>
                </w:rPr>
              </m:ctrlPr>
            </m:dPr>
            <m:e>
              <m:r>
                <w:rPr>
                  <w:rFonts w:ascii="Cambria Math" w:hAnsi="Cambria Math" w:cs="Arial"/>
                </w:rPr>
                <m:t>Lin</m:t>
              </m:r>
              <m:sSub>
                <m:sSubPr>
                  <m:ctrlPr>
                    <w:rPr>
                      <w:rFonts w:ascii="Cambria Math" w:hAnsi="Cambria Math" w:cs="Arial"/>
                      <w:i/>
                    </w:rPr>
                  </m:ctrlPr>
                </m:sSubPr>
                <m:e>
                  <m:r>
                    <w:rPr>
                      <w:rFonts w:ascii="Cambria Math" w:hAnsi="Cambria Math" w:cs="Arial"/>
                    </w:rPr>
                    <m:t>e</m:t>
                  </m:r>
                </m:e>
                <m:sub>
                  <m:r>
                    <w:rPr>
                      <w:rFonts w:ascii="Cambria Math" w:hAnsi="Cambria Math" w:cs="Arial"/>
                    </w:rPr>
                    <m:t>2</m:t>
                  </m:r>
                </m:sub>
              </m:sSub>
            </m:e>
          </m:d>
          <m:r>
            <w:rPr>
              <w:rFonts w:ascii="Cambria Math" w:hAnsi="Cambria Math" w:cs="Arial"/>
            </w:rPr>
            <m:t>-0.45</m:t>
          </m:r>
          <m:d>
            <m:dPr>
              <m:ctrlPr>
                <w:rPr>
                  <w:rFonts w:ascii="Cambria Math" w:hAnsi="Cambria Math" w:cs="Arial"/>
                  <w:i/>
                </w:rPr>
              </m:ctrlPr>
            </m:dPr>
            <m:e>
              <m:r>
                <w:rPr>
                  <w:rFonts w:ascii="Cambria Math" w:hAnsi="Cambria Math" w:cs="Arial"/>
                </w:rPr>
                <m:t>RA</m:t>
              </m:r>
              <m:sSub>
                <m:sSubPr>
                  <m:ctrlPr>
                    <w:rPr>
                      <w:rFonts w:ascii="Cambria Math" w:hAnsi="Cambria Math" w:cs="Arial"/>
                      <w:i/>
                    </w:rPr>
                  </m:ctrlPr>
                </m:sSubPr>
                <m:e>
                  <m:r>
                    <w:rPr>
                      <w:rFonts w:ascii="Cambria Math" w:hAnsi="Cambria Math" w:cs="Arial"/>
                    </w:rPr>
                    <m:t>S</m:t>
                  </m:r>
                </m:e>
                <m:sub>
                  <m:r>
                    <w:rPr>
                      <w:rFonts w:ascii="Cambria Math" w:hAnsi="Cambria Math" w:cs="Arial"/>
                    </w:rPr>
                    <m:t>Gen</m:t>
                  </m:r>
                </m:sub>
              </m:sSub>
            </m:e>
          </m:d>
          <m:r>
            <w:rPr>
              <w:rFonts w:ascii="Cambria Math" w:hAnsi="Cambria Math" w:cs="Arial"/>
            </w:rPr>
            <m:t>-0.65</m:t>
          </m:r>
          <m:d>
            <m:dPr>
              <m:ctrlPr>
                <w:rPr>
                  <w:rFonts w:ascii="Cambria Math" w:hAnsi="Cambria Math" w:cs="Arial"/>
                  <w:i/>
                </w:rPr>
              </m:ctrlPr>
            </m:dPr>
            <m:e>
              <m:r>
                <w:rPr>
                  <w:rFonts w:ascii="Cambria Math" w:hAnsi="Cambria Math" w:cs="Arial"/>
                </w:rPr>
                <m:t>RA</m:t>
              </m:r>
              <m:sSub>
                <m:sSubPr>
                  <m:ctrlPr>
                    <w:rPr>
                      <w:rFonts w:ascii="Cambria Math" w:hAnsi="Cambria Math" w:cs="Arial"/>
                      <w:i/>
                    </w:rPr>
                  </m:ctrlPr>
                </m:sSubPr>
                <m:e>
                  <m:r>
                    <w:rPr>
                      <w:rFonts w:ascii="Cambria Math" w:hAnsi="Cambria Math" w:cs="Arial"/>
                    </w:rPr>
                    <m:t>S</m:t>
                  </m:r>
                </m:e>
                <m:sub>
                  <m:r>
                    <w:rPr>
                      <w:rFonts w:ascii="Cambria Math" w:hAnsi="Cambria Math" w:cs="Arial"/>
                    </w:rPr>
                    <m:t>Load</m:t>
                  </m:r>
                </m:sub>
              </m:sSub>
            </m:e>
          </m:d>
          <m:r>
            <w:rPr>
              <w:rFonts w:ascii="Cambria Math" w:hAnsi="Cambria Math" w:cs="Arial"/>
            </w:rPr>
            <m:t>&lt;1200 MW</m:t>
          </m:r>
        </m:oMath>
      </m:oMathPara>
    </w:p>
    <w:p w14:paraId="3BEFBE7D" w14:textId="21E4816A" w:rsidR="00E66F21" w:rsidRPr="00746F54" w:rsidRDefault="00E66F21" w:rsidP="003B1D4E">
      <w:pPr>
        <w:spacing w:line="360" w:lineRule="auto"/>
        <w:rPr>
          <w:rFonts w:ascii="Arial" w:hAnsi="Arial" w:cs="Arial"/>
        </w:rPr>
      </w:pPr>
      <w:r w:rsidRPr="00746F54">
        <w:rPr>
          <w:rFonts w:ascii="Arial" w:hAnsi="Arial" w:cs="Arial"/>
        </w:rPr>
        <w:t xml:space="preserve">In the above example, the nomogram is designed to protect for an overload on </w:t>
      </w:r>
      <m:oMath>
        <m:r>
          <w:rPr>
            <w:rFonts w:ascii="Cambria Math" w:hAnsi="Cambria Math" w:cs="Arial"/>
          </w:rPr>
          <m:t>Lin</m:t>
        </m:r>
        <m:sSub>
          <m:sSubPr>
            <m:ctrlPr>
              <w:rPr>
                <w:rFonts w:ascii="Cambria Math" w:hAnsi="Cambria Math" w:cs="Arial"/>
                <w:i/>
              </w:rPr>
            </m:ctrlPr>
          </m:sSubPr>
          <m:e>
            <m:r>
              <w:rPr>
                <w:rFonts w:ascii="Cambria Math" w:hAnsi="Cambria Math" w:cs="Arial"/>
              </w:rPr>
              <m:t>e</m:t>
            </m:r>
          </m:e>
          <m:sub>
            <m:r>
              <w:rPr>
                <w:rFonts w:ascii="Cambria Math" w:hAnsi="Cambria Math" w:cs="Arial"/>
              </w:rPr>
              <m:t>1</m:t>
            </m:r>
          </m:sub>
        </m:sSub>
      </m:oMath>
      <w:r w:rsidRPr="00746F54">
        <w:rPr>
          <w:rFonts w:ascii="Arial" w:hAnsi="Arial" w:cs="Arial"/>
        </w:rPr>
        <w:t xml:space="preserve">for the contingency of </w:t>
      </w:r>
      <m:oMath>
        <m:r>
          <w:rPr>
            <w:rFonts w:ascii="Cambria Math" w:hAnsi="Cambria Math" w:cs="Arial"/>
          </w:rPr>
          <m:t>Lin</m:t>
        </m:r>
        <m:sSub>
          <m:sSubPr>
            <m:ctrlPr>
              <w:rPr>
                <w:rFonts w:ascii="Cambria Math" w:hAnsi="Cambria Math" w:cs="Arial"/>
                <w:i/>
              </w:rPr>
            </m:ctrlPr>
          </m:sSubPr>
          <m:e>
            <m:r>
              <w:rPr>
                <w:rFonts w:ascii="Cambria Math" w:hAnsi="Cambria Math" w:cs="Arial"/>
              </w:rPr>
              <m:t>e</m:t>
            </m:r>
          </m:e>
          <m:sub>
            <m:r>
              <w:rPr>
                <w:rFonts w:ascii="Cambria Math" w:hAnsi="Cambria Math" w:cs="Arial"/>
              </w:rPr>
              <m:t>2</m:t>
            </m:r>
          </m:sub>
        </m:sSub>
      </m:oMath>
      <w:r w:rsidRPr="00746F54">
        <w:rPr>
          <w:rFonts w:ascii="Arial" w:hAnsi="Arial" w:cs="Arial"/>
        </w:rPr>
        <w:t xml:space="preserve">with a distribution factor of 70%.  However, there is additional relief in the form or RAS action, in this case loss of </w:t>
      </w:r>
      <m:oMath>
        <m:r>
          <w:rPr>
            <w:rFonts w:ascii="Cambria Math" w:hAnsi="Cambria Math" w:cs="Arial"/>
          </w:rPr>
          <m:t>RA</m:t>
        </m:r>
        <m:sSub>
          <m:sSubPr>
            <m:ctrlPr>
              <w:rPr>
                <w:rFonts w:ascii="Cambria Math" w:hAnsi="Cambria Math" w:cs="Arial"/>
                <w:i/>
              </w:rPr>
            </m:ctrlPr>
          </m:sSubPr>
          <m:e>
            <m:r>
              <w:rPr>
                <w:rFonts w:ascii="Cambria Math" w:hAnsi="Cambria Math" w:cs="Arial"/>
              </w:rPr>
              <m:t>S</m:t>
            </m:r>
          </m:e>
          <m:sub>
            <m:r>
              <w:rPr>
                <w:rFonts w:ascii="Cambria Math" w:hAnsi="Cambria Math" w:cs="Arial"/>
              </w:rPr>
              <m:t>Gen</m:t>
            </m:r>
          </m:sub>
        </m:sSub>
      </m:oMath>
      <w:r w:rsidRPr="00746F54">
        <w:rPr>
          <w:rFonts w:ascii="Arial" w:eastAsiaTheme="minorEastAsia" w:hAnsi="Arial" w:cs="Arial"/>
        </w:rPr>
        <w:t xml:space="preserve"> </w:t>
      </w:r>
      <w:r w:rsidRPr="00746F54">
        <w:rPr>
          <w:rFonts w:ascii="Arial" w:hAnsi="Arial" w:cs="Arial"/>
        </w:rPr>
        <w:t xml:space="preserve">with a distribution factor of 45%, and </w:t>
      </w:r>
      <m:oMath>
        <m:r>
          <w:rPr>
            <w:rFonts w:ascii="Cambria Math" w:hAnsi="Cambria Math" w:cs="Arial"/>
          </w:rPr>
          <m:t>RA</m:t>
        </m:r>
        <m:sSub>
          <m:sSubPr>
            <m:ctrlPr>
              <w:rPr>
                <w:rFonts w:ascii="Cambria Math" w:hAnsi="Cambria Math" w:cs="Arial"/>
                <w:i/>
              </w:rPr>
            </m:ctrlPr>
          </m:sSubPr>
          <m:e>
            <m:r>
              <w:rPr>
                <w:rFonts w:ascii="Cambria Math" w:hAnsi="Cambria Math" w:cs="Arial"/>
              </w:rPr>
              <m:t>S</m:t>
            </m:r>
          </m:e>
          <m:sub>
            <m:r>
              <w:rPr>
                <w:rFonts w:ascii="Cambria Math" w:hAnsi="Cambria Math" w:cs="Arial"/>
              </w:rPr>
              <m:t>Load</m:t>
            </m:r>
          </m:sub>
        </m:sSub>
      </m:oMath>
      <w:r w:rsidRPr="00746F54">
        <w:rPr>
          <w:rFonts w:ascii="Arial" w:hAnsi="Arial" w:cs="Arial"/>
        </w:rPr>
        <w:t xml:space="preserve"> with a distribution factor of 65%.  The right-hand side of the equation is the emergency limit of the protected </w:t>
      </w:r>
      <m:oMath>
        <m:r>
          <w:rPr>
            <w:rFonts w:ascii="Cambria Math" w:hAnsi="Cambria Math" w:cs="Arial"/>
          </w:rPr>
          <m:t>Lin</m:t>
        </m:r>
        <m:sSub>
          <m:sSubPr>
            <m:ctrlPr>
              <w:rPr>
                <w:rFonts w:ascii="Cambria Math" w:hAnsi="Cambria Math" w:cs="Arial"/>
                <w:i/>
              </w:rPr>
            </m:ctrlPr>
          </m:sSubPr>
          <m:e>
            <m:r>
              <w:rPr>
                <w:rFonts w:ascii="Cambria Math" w:hAnsi="Cambria Math" w:cs="Arial"/>
              </w:rPr>
              <m:t>e</m:t>
            </m:r>
          </m:e>
          <m:sub>
            <m:r>
              <w:rPr>
                <w:rFonts w:ascii="Cambria Math" w:hAnsi="Cambria Math" w:cs="Arial"/>
              </w:rPr>
              <m:t>1</m:t>
            </m:r>
          </m:sub>
        </m:sSub>
      </m:oMath>
      <w:r w:rsidRPr="00746F54">
        <w:rPr>
          <w:rFonts w:ascii="Arial" w:hAnsi="Arial" w:cs="Arial"/>
        </w:rPr>
        <w:t>.</w:t>
      </w:r>
    </w:p>
    <w:p w14:paraId="776B90AE" w14:textId="432AAA45" w:rsidR="00E66F21" w:rsidRPr="00746F54" w:rsidRDefault="00E66F21" w:rsidP="003B1D4E">
      <w:pPr>
        <w:pStyle w:val="ListParagraph"/>
        <w:spacing w:line="360" w:lineRule="auto"/>
        <w:ind w:left="0"/>
        <w:rPr>
          <w:rFonts w:ascii="Arial" w:hAnsi="Arial" w:cs="Arial"/>
        </w:rPr>
      </w:pPr>
      <w:r w:rsidRPr="00746F54">
        <w:rPr>
          <w:rFonts w:ascii="Arial" w:hAnsi="Arial" w:cs="Arial"/>
          <w:b/>
          <w:bCs/>
        </w:rPr>
        <w:t xml:space="preserve">TCORS </w:t>
      </w:r>
      <w:r w:rsidRPr="00746F54">
        <w:rPr>
          <w:rFonts w:ascii="Arial" w:hAnsi="Arial" w:cs="Arial"/>
        </w:rPr>
        <w:t>– Transmission Corridors can represent flow and limit on a group of transmission lines. This is typically used as a path proxy limit for overload concern as well as other predefined stability concerns.</w:t>
      </w:r>
    </w:p>
    <w:p w14:paraId="749A6A27" w14:textId="56D2E305" w:rsidR="00E66F21" w:rsidRPr="00746F54" w:rsidRDefault="00E66F21" w:rsidP="003B1D4E">
      <w:pPr>
        <w:pStyle w:val="ListParagraph"/>
        <w:spacing w:line="360" w:lineRule="auto"/>
        <w:ind w:left="0"/>
        <w:contextualSpacing/>
        <w:rPr>
          <w:rFonts w:ascii="Arial" w:hAnsi="Arial" w:cs="Arial"/>
        </w:rPr>
      </w:pPr>
      <w:r w:rsidRPr="00746F54">
        <w:rPr>
          <w:rFonts w:ascii="Arial" w:hAnsi="Arial" w:cs="Arial"/>
          <w:b/>
        </w:rPr>
        <w:lastRenderedPageBreak/>
        <w:t>Conformances</w:t>
      </w:r>
      <w:r w:rsidRPr="00746F54">
        <w:rPr>
          <w:rFonts w:ascii="Arial" w:hAnsi="Arial" w:cs="Arial"/>
        </w:rPr>
        <w:t xml:space="preserve"> – Conformances are a change to a constraint’s effective limit in the form of a percentage multiplier.  These are submitted in OMS by the EDAM entity for the day-ahead market, while they are managed for RTM directly in the market UI (BAAOP).  The default value in OMS is 100%, which indicates no change to the effective limit.  The conformance may be updated at any time in OMS prior to the market run.  If there is a consistent discrepancy in congestion between EDAM and the real-time market due to factors that cannot be addressed through any other means, then a conformance may be used.  Before deciding on a conformance, it is important for an EDAM entity to compare the real-time and EDAM congestion and validate which market flows are more accurate. Note that just because EDAM and RTM congestion may be significantly different for a given timeframe, this may be due to uncontrollable factors such as changing outage schedules and unexpected real-time conditions. These factors should be investigated thoroughly before determining that a conformance is appropriate in EDAM.  The conformance is applicable only to the effective limit in the market and should not be considered a replacement for submitting appropriate physical limits to be used by real-time reliability applications (OMS ERC cards, WebLineR data).</w:t>
      </w:r>
    </w:p>
    <w:p w14:paraId="62E75F9D" w14:textId="77777777" w:rsidR="00E66F21" w:rsidRPr="00746F54" w:rsidRDefault="00E66F21" w:rsidP="003B1D4E">
      <w:pPr>
        <w:pStyle w:val="ListParagraph"/>
        <w:spacing w:line="360" w:lineRule="auto"/>
        <w:ind w:left="0"/>
        <w:contextualSpacing/>
        <w:rPr>
          <w:rFonts w:ascii="Arial" w:hAnsi="Arial" w:cs="Arial"/>
        </w:rPr>
      </w:pPr>
    </w:p>
    <w:p w14:paraId="614BF734" w14:textId="539D3F85" w:rsidR="00E66F21" w:rsidRPr="00746F54" w:rsidRDefault="00E66F21" w:rsidP="00E66F21">
      <w:pPr>
        <w:pStyle w:val="ListParagraph"/>
        <w:spacing w:line="360" w:lineRule="auto"/>
        <w:ind w:left="0"/>
        <w:contextualSpacing/>
        <w:rPr>
          <w:rFonts w:ascii="Arial" w:hAnsi="Arial" w:cs="Arial"/>
        </w:rPr>
      </w:pPr>
      <w:r w:rsidRPr="00746F54">
        <w:rPr>
          <w:rFonts w:ascii="Arial" w:hAnsi="Arial" w:cs="Arial"/>
          <w:b/>
        </w:rPr>
        <w:t>Minimum Online Commitment (MOC)</w:t>
      </w:r>
      <w:r w:rsidRPr="00746F54">
        <w:rPr>
          <w:rFonts w:ascii="Arial" w:hAnsi="Arial" w:cs="Arial"/>
        </w:rPr>
        <w:t xml:space="preserve"> – This constraint type is used to ensure that sufficient capacity is online in specific areas to address reliability concerns.  This constraint type can be used for reliability concerns that are not easily mitigated with the other flow-based constraint types, such as voltage control, however, still have enough applicable resources to benefit from market optimization. The EDAM entity identifies a list of resources that can be used to mitigate any reliability concern and a table of times the constraint will be active with corresponding megawatt values to be procured for those intervals.  Note that the MOC functionality ensures that enough resources are online to meet the megawatt requirement, however, this does not guarantee that they will be dispatched to any specific output.  This constraint is only used to ensure capacity in EDAM and is not active in the real-time market.  The MOC constraint can only commit resources that are bid in. If there is a limited selection of resources that can mitigate the issue and there is no need for market optimization, it is preferred that the EDAM entity rely on self-schedules rather than modeling a MOC.  Note that MOC constraints should be identified and submitted in OMS as early as possible to allow adequate time for the market operator to model in market runs.  There is a limit to how many MOC’s may be activated for each trade day.  Should the number of activated MOCs reach the maximum limit between all </w:t>
      </w:r>
      <w:r w:rsidRPr="00746F54">
        <w:rPr>
          <w:rFonts w:ascii="Arial" w:hAnsi="Arial" w:cs="Arial"/>
        </w:rPr>
        <w:lastRenderedPageBreak/>
        <w:t xml:space="preserve">participating EDAM entities including the CAISO BA, the Market operator may be required to coordinate selected deactivation where the MOC MWs for all hours are zero or the load forecast is not high enough to trigger non-zero MOC MW requirements.  Should additional </w:t>
      </w:r>
      <w:r w:rsidR="003F76EC" w:rsidRPr="00746F54">
        <w:rPr>
          <w:rFonts w:ascii="Arial" w:hAnsi="Arial" w:cs="Arial"/>
        </w:rPr>
        <w:t>MOCs</w:t>
      </w:r>
      <w:r w:rsidRPr="00746F54">
        <w:rPr>
          <w:rFonts w:ascii="Arial" w:hAnsi="Arial" w:cs="Arial"/>
        </w:rPr>
        <w:t xml:space="preserve"> be deactivated, the market operator will then coordinate directly with the EDAM entity and determine the best option on a case-by-case basis.</w:t>
      </w:r>
    </w:p>
    <w:p w14:paraId="3A5778AE" w14:textId="77777777" w:rsidR="00E66F21" w:rsidRPr="00746F54" w:rsidRDefault="00E66F21" w:rsidP="00E66F21">
      <w:pPr>
        <w:pStyle w:val="ListParagraph"/>
        <w:spacing w:line="360" w:lineRule="auto"/>
        <w:ind w:left="0"/>
        <w:contextualSpacing/>
        <w:rPr>
          <w:rFonts w:ascii="Arial" w:hAnsi="Arial" w:cs="Arial"/>
        </w:rPr>
      </w:pPr>
    </w:p>
    <w:p w14:paraId="48BD8F8A" w14:textId="77777777" w:rsidR="00E66F21" w:rsidRPr="00746F54" w:rsidRDefault="00E66F21" w:rsidP="00E66F21">
      <w:pPr>
        <w:pStyle w:val="ListParagraph"/>
        <w:spacing w:line="360" w:lineRule="auto"/>
        <w:contextualSpacing/>
        <w:rPr>
          <w:rFonts w:ascii="Arial" w:hAnsi="Arial" w:cs="Arial"/>
        </w:rPr>
      </w:pPr>
      <w:r w:rsidRPr="00746F54">
        <w:rPr>
          <w:rFonts w:ascii="Arial" w:hAnsi="Arial" w:cs="Arial"/>
        </w:rPr>
        <w:t>Example of MOC submission in OMS Market Impacts Tab:</w:t>
      </w:r>
    </w:p>
    <w:p w14:paraId="2B38834A" w14:textId="77777777" w:rsidR="00E66F21" w:rsidRPr="00746F54" w:rsidRDefault="00E66F21" w:rsidP="00E66F21">
      <w:pPr>
        <w:spacing w:after="0" w:line="240" w:lineRule="auto"/>
        <w:ind w:firstLine="720"/>
        <w:rPr>
          <w:rFonts w:ascii="Arial" w:hAnsi="Arial" w:cs="Arial"/>
        </w:rPr>
      </w:pPr>
      <w:r w:rsidRPr="00746F54">
        <w:rPr>
          <w:rFonts w:ascii="Arial" w:hAnsi="Arial" w:cs="Arial"/>
        </w:rPr>
        <w:t>60 MW required HE 0800 – HE 2000</w:t>
      </w:r>
    </w:p>
    <w:p w14:paraId="321185C6" w14:textId="77777777" w:rsidR="00E66F21" w:rsidRPr="00746F54" w:rsidRDefault="00E66F21" w:rsidP="00E66F21">
      <w:pPr>
        <w:spacing w:after="0" w:line="240" w:lineRule="auto"/>
        <w:ind w:left="720"/>
        <w:rPr>
          <w:rFonts w:ascii="Arial" w:hAnsi="Arial" w:cs="Arial"/>
        </w:rPr>
      </w:pPr>
      <w:r w:rsidRPr="00746F54">
        <w:rPr>
          <w:rFonts w:ascii="Arial" w:hAnsi="Arial" w:cs="Arial"/>
        </w:rPr>
        <w:t>RESOURCE_ID_01, Participation Factor = 1.0</w:t>
      </w:r>
      <w:r w:rsidRPr="00746F54">
        <w:rPr>
          <w:rFonts w:ascii="Arial" w:hAnsi="Arial" w:cs="Arial"/>
        </w:rPr>
        <w:tab/>
      </w:r>
      <w:r w:rsidRPr="00746F54">
        <w:rPr>
          <w:rFonts w:ascii="Arial" w:hAnsi="Arial" w:cs="Arial"/>
        </w:rPr>
        <w:tab/>
      </w:r>
      <w:r w:rsidRPr="00746F54">
        <w:rPr>
          <w:rFonts w:ascii="Arial" w:hAnsi="Arial" w:cs="Arial"/>
        </w:rPr>
        <w:tab/>
      </w:r>
    </w:p>
    <w:p w14:paraId="6545D93D" w14:textId="77777777" w:rsidR="00E66F21" w:rsidRPr="00746F54" w:rsidRDefault="00E66F21" w:rsidP="00E66F21">
      <w:pPr>
        <w:spacing w:after="0" w:line="240" w:lineRule="auto"/>
        <w:ind w:left="720"/>
        <w:rPr>
          <w:rFonts w:ascii="Arial" w:hAnsi="Arial" w:cs="Arial"/>
        </w:rPr>
      </w:pPr>
      <w:r w:rsidRPr="00746F54">
        <w:rPr>
          <w:rFonts w:ascii="Arial" w:hAnsi="Arial" w:cs="Arial"/>
        </w:rPr>
        <w:t>RESOURCE_ID_02, Participation Factor = 1.0</w:t>
      </w:r>
      <w:r w:rsidRPr="00746F54">
        <w:rPr>
          <w:rFonts w:ascii="Arial" w:hAnsi="Arial" w:cs="Arial"/>
        </w:rPr>
        <w:tab/>
      </w:r>
      <w:r w:rsidRPr="00746F54">
        <w:rPr>
          <w:rFonts w:ascii="Arial" w:hAnsi="Arial" w:cs="Arial"/>
        </w:rPr>
        <w:tab/>
      </w:r>
      <w:r w:rsidRPr="00746F54">
        <w:rPr>
          <w:rFonts w:ascii="Arial" w:hAnsi="Arial" w:cs="Arial"/>
        </w:rPr>
        <w:tab/>
      </w:r>
    </w:p>
    <w:p w14:paraId="43ABF0F8" w14:textId="77777777" w:rsidR="00E66F21" w:rsidRPr="00746F54" w:rsidRDefault="00E66F21" w:rsidP="00E66F21">
      <w:pPr>
        <w:spacing w:after="0" w:line="240" w:lineRule="auto"/>
        <w:ind w:left="720"/>
        <w:rPr>
          <w:rFonts w:ascii="Arial" w:hAnsi="Arial" w:cs="Arial"/>
        </w:rPr>
      </w:pPr>
      <w:r w:rsidRPr="00746F54">
        <w:rPr>
          <w:rFonts w:ascii="Arial" w:hAnsi="Arial" w:cs="Arial"/>
        </w:rPr>
        <w:t>RESOURCE_ID_03, Participation Factor = 1.0</w:t>
      </w:r>
      <w:r w:rsidRPr="00746F54">
        <w:rPr>
          <w:rFonts w:ascii="Arial" w:hAnsi="Arial" w:cs="Arial"/>
        </w:rPr>
        <w:tab/>
      </w:r>
      <w:r w:rsidRPr="00746F54">
        <w:rPr>
          <w:rFonts w:ascii="Arial" w:hAnsi="Arial" w:cs="Arial"/>
        </w:rPr>
        <w:tab/>
      </w:r>
      <w:r w:rsidRPr="00746F54">
        <w:rPr>
          <w:rFonts w:ascii="Arial" w:hAnsi="Arial" w:cs="Arial"/>
        </w:rPr>
        <w:tab/>
      </w:r>
    </w:p>
    <w:p w14:paraId="364844F1" w14:textId="77777777" w:rsidR="00E66F21" w:rsidRPr="00746F54" w:rsidRDefault="00E66F21" w:rsidP="00E66F21">
      <w:pPr>
        <w:pStyle w:val="ParaText"/>
        <w:spacing w:line="240" w:lineRule="auto"/>
        <w:ind w:firstLine="720"/>
        <w:rPr>
          <w:rFonts w:ascii="Arial" w:hAnsi="Arial" w:cs="Arial"/>
        </w:rPr>
      </w:pPr>
      <w:r w:rsidRPr="00746F54">
        <w:rPr>
          <w:rFonts w:ascii="Arial" w:hAnsi="Arial" w:cs="Arial"/>
        </w:rPr>
        <w:t>RESOURCE_ID_04, Participation Factor = 1.0</w:t>
      </w:r>
    </w:p>
    <w:p w14:paraId="3C2AD6A8" w14:textId="77777777" w:rsidR="00E66F21" w:rsidRPr="00746F54" w:rsidRDefault="00E66F21" w:rsidP="00E66F21">
      <w:pPr>
        <w:pStyle w:val="Bullet1"/>
        <w:numPr>
          <w:ilvl w:val="0"/>
          <w:numId w:val="0"/>
        </w:numPr>
        <w:rPr>
          <w:rFonts w:ascii="Arial" w:hAnsi="Arial" w:cs="Arial"/>
          <w:b/>
        </w:rPr>
      </w:pPr>
      <w:bookmarkStart w:id="302" w:name="_Toc209781041"/>
      <w:bookmarkStart w:id="303" w:name="_Toc209781042"/>
      <w:bookmarkStart w:id="304" w:name="_Toc209781043"/>
      <w:bookmarkStart w:id="305" w:name="_Toc209781044"/>
      <w:bookmarkStart w:id="306" w:name="_Toc209781045"/>
      <w:bookmarkStart w:id="307" w:name="_Toc209781046"/>
      <w:bookmarkStart w:id="308" w:name="_Toc209781047"/>
      <w:bookmarkEnd w:id="302"/>
      <w:bookmarkEnd w:id="303"/>
      <w:bookmarkEnd w:id="304"/>
      <w:bookmarkEnd w:id="305"/>
      <w:bookmarkEnd w:id="306"/>
      <w:bookmarkEnd w:id="307"/>
      <w:bookmarkEnd w:id="308"/>
    </w:p>
    <w:p w14:paraId="5279C0E6" w14:textId="00745089" w:rsidR="00E66F21" w:rsidRPr="00746F54" w:rsidRDefault="00E66F21" w:rsidP="00E66F21">
      <w:pPr>
        <w:pStyle w:val="Style1"/>
        <w:numPr>
          <w:ilvl w:val="2"/>
          <w:numId w:val="63"/>
        </w:numPr>
        <w:rPr>
          <w:rFonts w:ascii="Arial" w:hAnsi="Arial"/>
        </w:rPr>
      </w:pPr>
      <w:r w:rsidRPr="00746F54">
        <w:rPr>
          <w:rFonts w:ascii="Arial" w:hAnsi="Arial"/>
        </w:rPr>
        <w:t xml:space="preserve">Transmission Constraint Activation </w:t>
      </w:r>
    </w:p>
    <w:p w14:paraId="6695D6C2" w14:textId="5E18ABEB" w:rsidR="00E66F21" w:rsidRPr="00746F54" w:rsidRDefault="00E66F21" w:rsidP="00E66F21">
      <w:pPr>
        <w:spacing w:line="360" w:lineRule="auto"/>
        <w:rPr>
          <w:rFonts w:ascii="Arial" w:hAnsi="Arial" w:cs="Arial"/>
        </w:rPr>
      </w:pPr>
      <w:r w:rsidRPr="00746F54">
        <w:rPr>
          <w:rFonts w:ascii="Arial" w:hAnsi="Arial" w:cs="Arial"/>
        </w:rPr>
        <w:t xml:space="preserve">Transmission constraints may be selected as default enforced or unenforced based on the EDAM entity’s preference. The EDAM entity should coordinate with the market operator in advance via a CIDI ticket if a list of </w:t>
      </w:r>
      <w:proofErr w:type="spellStart"/>
      <w:r w:rsidRPr="00746F54">
        <w:rPr>
          <w:rFonts w:ascii="Arial" w:hAnsi="Arial" w:cs="Arial"/>
        </w:rPr>
        <w:t>flowgates</w:t>
      </w:r>
      <w:proofErr w:type="spellEnd"/>
      <w:r w:rsidRPr="00746F54">
        <w:rPr>
          <w:rFonts w:ascii="Arial" w:hAnsi="Arial" w:cs="Arial"/>
        </w:rPr>
        <w:t xml:space="preserve">, </w:t>
      </w:r>
      <w:proofErr w:type="spellStart"/>
      <w:r w:rsidRPr="00746F54">
        <w:rPr>
          <w:rFonts w:ascii="Arial" w:hAnsi="Arial" w:cs="Arial"/>
        </w:rPr>
        <w:t>Tcor</w:t>
      </w:r>
      <w:proofErr w:type="spellEnd"/>
      <w:r w:rsidRPr="00746F54">
        <w:rPr>
          <w:rFonts w:ascii="Arial" w:hAnsi="Arial" w:cs="Arial"/>
        </w:rPr>
        <w:t xml:space="preserve">, contingency, nomogram and MOC are desired to be activated in EDAM by default.  The EDAM entity can elect to activate a constraint for specific areas or outage in OMS when predefined. The OMS record must be received and approved prior to 10:00. During the interactive market run process, the market operator will advise additional market constraints based on OPA reliability concern review process and shall coordinate with the EDAM entity if decision is made differently than the EDAM entity requests.  See Market Operations BPM Section 6.6.2.5 for more information on the enforcement of constraints.  </w:t>
      </w:r>
    </w:p>
    <w:p w14:paraId="1D5CB136" w14:textId="5A344A32" w:rsidR="00E66F21" w:rsidRPr="00746F54" w:rsidRDefault="00E66F21" w:rsidP="00E66F21">
      <w:pPr>
        <w:numPr>
          <w:ilvl w:val="0"/>
          <w:numId w:val="19"/>
        </w:numPr>
        <w:spacing w:after="0"/>
        <w:ind w:left="1620"/>
        <w:textAlignment w:val="center"/>
        <w:rPr>
          <w:rFonts w:ascii="Arial" w:hAnsi="Arial" w:cs="Arial"/>
        </w:rPr>
      </w:pPr>
      <w:r w:rsidRPr="00746F54">
        <w:rPr>
          <w:rFonts w:ascii="Arial" w:hAnsi="Arial" w:cs="Arial"/>
        </w:rPr>
        <w:t xml:space="preserve">EDAM entities may elect to un-enforce IR up/down on their </w:t>
      </w:r>
      <w:proofErr w:type="spellStart"/>
      <w:r w:rsidRPr="00746F54">
        <w:rPr>
          <w:rFonts w:ascii="Arial" w:hAnsi="Arial" w:cs="Arial"/>
        </w:rPr>
        <w:t>flowgates</w:t>
      </w:r>
      <w:proofErr w:type="spellEnd"/>
      <w:r w:rsidRPr="00746F54">
        <w:rPr>
          <w:rFonts w:ascii="Arial" w:hAnsi="Arial" w:cs="Arial"/>
        </w:rPr>
        <w:t xml:space="preserve"> and </w:t>
      </w:r>
      <w:r w:rsidR="00A62A99" w:rsidRPr="00746F54">
        <w:rPr>
          <w:rFonts w:ascii="Arial" w:hAnsi="Arial" w:cs="Arial"/>
        </w:rPr>
        <w:t>contingencies.</w:t>
      </w:r>
    </w:p>
    <w:p w14:paraId="08072B34" w14:textId="77777777" w:rsidR="00E66F21" w:rsidRPr="00746F54" w:rsidRDefault="00E66F21" w:rsidP="00E66F21">
      <w:pPr>
        <w:numPr>
          <w:ilvl w:val="0"/>
          <w:numId w:val="19"/>
        </w:numPr>
        <w:spacing w:after="0"/>
        <w:ind w:left="1620"/>
        <w:textAlignment w:val="center"/>
        <w:rPr>
          <w:rFonts w:ascii="Arial" w:hAnsi="Arial" w:cs="Arial"/>
        </w:rPr>
      </w:pPr>
      <w:r w:rsidRPr="00746F54">
        <w:rPr>
          <w:rFonts w:ascii="Arial" w:hAnsi="Arial" w:cs="Arial"/>
        </w:rPr>
        <w:t xml:space="preserve">By default, any active </w:t>
      </w:r>
      <w:proofErr w:type="spellStart"/>
      <w:r w:rsidRPr="00746F54">
        <w:rPr>
          <w:rFonts w:ascii="Arial" w:hAnsi="Arial" w:cs="Arial"/>
        </w:rPr>
        <w:t>flowgate</w:t>
      </w:r>
      <w:proofErr w:type="spellEnd"/>
      <w:r w:rsidRPr="00746F54">
        <w:rPr>
          <w:rFonts w:ascii="Arial" w:hAnsi="Arial" w:cs="Arial"/>
        </w:rPr>
        <w:t xml:space="preserve"> and contingency is active for both energy and IR Up/Down</w:t>
      </w:r>
    </w:p>
    <w:p w14:paraId="1611216A" w14:textId="77777777" w:rsidR="00E66F21" w:rsidRPr="007F4695" w:rsidRDefault="00E66F21" w:rsidP="00E66F21">
      <w:pPr>
        <w:spacing w:after="0"/>
        <w:ind w:left="1620"/>
        <w:textAlignment w:val="center"/>
        <w:rPr>
          <w:rFonts w:ascii="Calibri" w:hAnsi="Calibri" w:cs="Calibri"/>
        </w:rPr>
      </w:pPr>
    </w:p>
    <w:p w14:paraId="0C2E5010" w14:textId="72C2663C" w:rsidR="007954E1" w:rsidRDefault="007954E1">
      <w:r>
        <w:br w:type="page"/>
      </w:r>
    </w:p>
    <w:p w14:paraId="4EA0AD3F" w14:textId="103C9E5F" w:rsidR="007954E1" w:rsidRPr="007954E1" w:rsidRDefault="00E0313E" w:rsidP="007954E1">
      <w:pPr>
        <w:pStyle w:val="Heading1"/>
        <w:rPr>
          <w:rFonts w:ascii="Arial" w:hAnsi="Arial" w:cs="Arial"/>
        </w:rPr>
      </w:pPr>
      <w:bookmarkStart w:id="309" w:name="_Toc228963766"/>
      <w:r>
        <w:rPr>
          <w:rFonts w:ascii="Arial" w:hAnsi="Arial" w:cs="Arial"/>
        </w:rPr>
        <w:lastRenderedPageBreak/>
        <w:t xml:space="preserve">Appendix 3 - </w:t>
      </w:r>
      <w:r w:rsidR="007954E1" w:rsidRPr="007954E1">
        <w:rPr>
          <w:rFonts w:ascii="Arial" w:hAnsi="Arial" w:cs="Arial"/>
        </w:rPr>
        <w:t>EDAM Demand Response Attestation</w:t>
      </w:r>
      <w:bookmarkEnd w:id="309"/>
      <w:r w:rsidR="007954E1" w:rsidRPr="007954E1">
        <w:rPr>
          <w:rFonts w:ascii="Arial" w:hAnsi="Arial" w:cs="Arial"/>
        </w:rPr>
        <w:t xml:space="preserve"> </w:t>
      </w:r>
    </w:p>
    <w:p w14:paraId="05233556" w14:textId="77777777" w:rsidR="007954E1" w:rsidRDefault="007954E1" w:rsidP="007954E1">
      <w:pPr>
        <w:pStyle w:val="Heading4"/>
      </w:pPr>
      <w:r w:rsidRPr="006A75F8">
        <w:rPr>
          <w:rFonts w:cs="Arial"/>
          <w:noProof/>
        </w:rPr>
        <mc:AlternateContent>
          <mc:Choice Requires="wps">
            <w:drawing>
              <wp:anchor distT="0" distB="0" distL="114300" distR="114300" simplePos="0" relativeHeight="251660288" behindDoc="0" locked="0" layoutInCell="1" allowOverlap="1" wp14:anchorId="08FEE817" wp14:editId="361A7C12">
                <wp:simplePos x="0" y="0"/>
                <wp:positionH relativeFrom="margin">
                  <wp:align>left</wp:align>
                </wp:positionH>
                <wp:positionV relativeFrom="paragraph">
                  <wp:posOffset>5080</wp:posOffset>
                </wp:positionV>
                <wp:extent cx="6096000" cy="1084580"/>
                <wp:effectExtent l="0" t="0" r="19050" b="171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084580"/>
                        </a:xfrm>
                        <a:prstGeom prst="rect">
                          <a:avLst/>
                        </a:prstGeom>
                        <a:solidFill>
                          <a:srgbClr val="FFFFFF"/>
                        </a:solidFill>
                        <a:ln w="22225">
                          <a:solidFill>
                            <a:srgbClr val="0033CC"/>
                          </a:solidFill>
                          <a:miter lim="800000"/>
                          <a:headEnd/>
                          <a:tailEnd/>
                        </a:ln>
                      </wps:spPr>
                      <wps:txbx>
                        <w:txbxContent>
                          <w:p w14:paraId="6DAE84C4" w14:textId="77777777" w:rsidR="007954E1" w:rsidRPr="00AF0A22" w:rsidRDefault="007954E1" w:rsidP="007954E1">
                            <w:pPr>
                              <w:rPr>
                                <w:b/>
                                <w:color w:val="FF0000"/>
                              </w:rPr>
                            </w:pPr>
                            <w:r>
                              <w:rPr>
                                <w:b/>
                                <w:color w:val="FF0000"/>
                              </w:rPr>
                              <w:t>EDAM</w:t>
                            </w:r>
                            <w:r w:rsidRPr="00AF0A22">
                              <w:rPr>
                                <w:b/>
                                <w:color w:val="FF0000"/>
                              </w:rPr>
                              <w:t xml:space="preserve"> Demand Response Attestation</w:t>
                            </w:r>
                          </w:p>
                          <w:p w14:paraId="5B283835" w14:textId="77777777" w:rsidR="007954E1" w:rsidRPr="00E854DA" w:rsidRDefault="007954E1" w:rsidP="007954E1">
                            <w:pPr>
                              <w:numPr>
                                <w:ilvl w:val="0"/>
                                <w:numId w:val="152"/>
                              </w:numPr>
                              <w:spacing w:after="0" w:line="240" w:lineRule="auto"/>
                              <w:rPr>
                                <w:rFonts w:ascii="Arial" w:hAnsi="Arial" w:cs="Arial"/>
                                <w:i/>
                                <w:sz w:val="16"/>
                                <w:szCs w:val="16"/>
                              </w:rPr>
                            </w:pPr>
                            <w:r w:rsidRPr="00E854DA">
                              <w:rPr>
                                <w:rFonts w:ascii="Arial" w:hAnsi="Arial" w:cs="Arial"/>
                                <w:i/>
                                <w:sz w:val="16"/>
                                <w:szCs w:val="16"/>
                              </w:rPr>
                              <w:t xml:space="preserve">The following attestation form may be used to acknowledge </w:t>
                            </w:r>
                            <w:r>
                              <w:rPr>
                                <w:rFonts w:ascii="Arial" w:hAnsi="Arial" w:cs="Arial"/>
                                <w:i/>
                                <w:sz w:val="16"/>
                                <w:szCs w:val="16"/>
                              </w:rPr>
                              <w:t>EDAM</w:t>
                            </w:r>
                            <w:r w:rsidRPr="00E854DA">
                              <w:rPr>
                                <w:rFonts w:ascii="Arial" w:hAnsi="Arial" w:cs="Arial"/>
                                <w:i/>
                                <w:sz w:val="16"/>
                                <w:szCs w:val="16"/>
                              </w:rPr>
                              <w:t xml:space="preserve"> Entity responsibilities when accounting for non-participating demand response.  This attestation must be completed and attached to a </w:t>
                            </w:r>
                            <w:r w:rsidRPr="00E854DA">
                              <w:rPr>
                                <w:rFonts w:ascii="Arial" w:hAnsi="Arial" w:cs="Arial"/>
                                <w:i/>
                                <w:color w:val="C00000"/>
                                <w:sz w:val="16"/>
                                <w:szCs w:val="16"/>
                              </w:rPr>
                              <w:t>CIDI ticket with the Subject Line “</w:t>
                            </w:r>
                            <w:r>
                              <w:rPr>
                                <w:rFonts w:ascii="Arial" w:hAnsi="Arial" w:cs="Arial"/>
                                <w:i/>
                                <w:color w:val="C00000"/>
                                <w:sz w:val="16"/>
                                <w:szCs w:val="16"/>
                              </w:rPr>
                              <w:t xml:space="preserve">EDAM </w:t>
                            </w:r>
                            <w:r w:rsidRPr="00E854DA">
                              <w:rPr>
                                <w:rFonts w:ascii="Arial" w:hAnsi="Arial" w:cs="Arial"/>
                                <w:i/>
                                <w:color w:val="C00000"/>
                                <w:sz w:val="16"/>
                                <w:szCs w:val="16"/>
                              </w:rPr>
                              <w:t>RSE Attestation”</w:t>
                            </w:r>
                            <w:r w:rsidRPr="00E854DA">
                              <w:rPr>
                                <w:rFonts w:ascii="Arial" w:hAnsi="Arial" w:cs="Arial"/>
                                <w:i/>
                                <w:sz w:val="16"/>
                                <w:szCs w:val="16"/>
                              </w:rPr>
                              <w:t xml:space="preserve">.  For any desired changes to this attestation after its submission, please contact your Client Representative. </w:t>
                            </w:r>
                          </w:p>
                          <w:p w14:paraId="31011D66" w14:textId="77777777" w:rsidR="007954E1" w:rsidRPr="00E854DA" w:rsidRDefault="007954E1" w:rsidP="007954E1">
                            <w:pPr>
                              <w:pStyle w:val="Header"/>
                              <w:numPr>
                                <w:ilvl w:val="0"/>
                                <w:numId w:val="152"/>
                              </w:numPr>
                              <w:tabs>
                                <w:tab w:val="clear" w:pos="4320"/>
                                <w:tab w:val="clear" w:pos="8640"/>
                              </w:tabs>
                              <w:spacing w:after="0" w:line="240" w:lineRule="auto"/>
                              <w:rPr>
                                <w:rFonts w:ascii="Arial" w:hAnsi="Arial" w:cs="Arial"/>
                                <w:sz w:val="16"/>
                                <w:szCs w:val="16"/>
                              </w:rPr>
                            </w:pPr>
                            <w:r w:rsidRPr="00E854DA">
                              <w:rPr>
                                <w:rFonts w:ascii="Arial" w:hAnsi="Arial" w:cs="Arial"/>
                                <w:sz w:val="16"/>
                                <w:szCs w:val="16"/>
                              </w:rPr>
                              <w:t>To submit documentation, please review</w:t>
                            </w:r>
                            <w:r w:rsidRPr="00E854DA">
                              <w:rPr>
                                <w:rFonts w:ascii="Arial" w:hAnsi="Arial" w:cs="Arial"/>
                                <w:color w:val="0000FF"/>
                                <w:sz w:val="16"/>
                                <w:szCs w:val="16"/>
                              </w:rPr>
                              <w:t xml:space="preserve"> </w:t>
                            </w:r>
                            <w:hyperlink r:id="rId30" w:history="1">
                              <w:r w:rsidRPr="00E854DA">
                                <w:rPr>
                                  <w:rStyle w:val="Hyperlink"/>
                                  <w:rFonts w:ascii="Arial" w:hAnsi="Arial" w:cs="Arial"/>
                                  <w:sz w:val="16"/>
                                  <w:szCs w:val="16"/>
                                </w:rPr>
                                <w:t>http://www.caiso.com/Documents/How-to-Submit-Documentation-for-Applications-and-Ongoing-Obligations.pdf</w:t>
                              </w:r>
                            </w:hyperlink>
                            <w:r w:rsidRPr="00E854DA">
                              <w:rPr>
                                <w:rFonts w:ascii="Arial" w:hAnsi="Arial" w:cs="Arial"/>
                                <w:color w:val="0000FF"/>
                                <w:sz w:val="16"/>
                                <w:szCs w:val="16"/>
                              </w:rPr>
                              <w:t xml:space="preserve"> </w:t>
                            </w:r>
                            <w:r w:rsidRPr="00E854DA">
                              <w:rPr>
                                <w:rFonts w:ascii="Arial" w:hAnsi="Arial" w:cs="Arial"/>
                                <w:sz w:val="16"/>
                                <w:szCs w:val="16"/>
                              </w:rPr>
                              <w:t>for proper steps</w:t>
                            </w:r>
                          </w:p>
                          <w:p w14:paraId="12D1AB39" w14:textId="77777777" w:rsidR="007954E1" w:rsidRPr="006E09BA" w:rsidRDefault="007954E1" w:rsidP="007954E1">
                            <w:pPr>
                              <w:ind w:left="720"/>
                              <w:rPr>
                                <w:rFonts w:ascii="Arial" w:hAnsi="Arial" w:cs="Arial"/>
                                <w:sz w:val="18"/>
                                <w:szCs w:val="18"/>
                              </w:rPr>
                            </w:pPr>
                            <w:r w:rsidRPr="006E09BA">
                              <w:rPr>
                                <w:rFonts w:ascii="Arial" w:hAnsi="Arial" w:cs="Arial"/>
                                <w:sz w:val="18"/>
                                <w:szCs w:val="18"/>
                              </w:rPr>
                              <w:t>Letter templates must be printed on applicable company letterhead, signed, scan as a pdf.</w:t>
                            </w:r>
                          </w:p>
                          <w:p w14:paraId="10A26308" w14:textId="77777777" w:rsidR="007954E1" w:rsidRPr="00E854DA" w:rsidRDefault="007954E1" w:rsidP="007954E1">
                            <w:pPr>
                              <w:ind w:left="720"/>
                              <w:rPr>
                                <w:rFonts w:ascii="Arial" w:hAnsi="Arial" w:cs="Arial"/>
                                <w:color w:val="FF0000"/>
                                <w:sz w:val="18"/>
                                <w:szCs w:val="18"/>
                              </w:rPr>
                            </w:pPr>
                            <w:r w:rsidRPr="006E09BA">
                              <w:rPr>
                                <w:rFonts w:ascii="Arial" w:hAnsi="Arial" w:cs="Arial"/>
                                <w:color w:val="FF0000"/>
                                <w:sz w:val="18"/>
                                <w:szCs w:val="18"/>
                              </w:rPr>
                              <w:t>Remove this text box when copying to resource owner letterhead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8FEE817" id="Text Box 35" o:spid="_x0000_s1086" type="#_x0000_t202" style="position:absolute;left:0;text-align:left;margin-left:0;margin-top:.4pt;width:480pt;height:85.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F73HwIAADUEAAAOAAAAZHJzL2Uyb0RvYy54bWysU8tu2zAQvBfoPxC815Id23UEy0Hq1EWB&#10;9AGk/QCaoiyiFJdd0pbSr8+Ssh0jbS9FdSB2teRwZ3a4vOlbww4KvQZb8vEo50xZCZW2u5J//7Z5&#10;s+DMB2ErYcCqkj8qz29Wr18tO1eoCTRgKoWMQKwvOlfyJgRXZJmXjWqFH4FTloo1YCsCpbjLKhQd&#10;obcmm+T5POsAK4cglff0924o8lXCr2slw5e69iowU3LqLaQV07qNa7ZaimKHwjVaHtsQ/9BFK7Sl&#10;S89QdyIItkf9G1SrJYKHOowktBnUtZYqcSA24/wFm4dGOJW4kDjenWXy/w9Wfj48uK/IQv8Oehpg&#10;IuHdPcgfnllYN8Lu1C0idI0SFV08jpJlnfPF8WiU2hc+gmy7T1DRkMU+QALqa2yjKsSTEToN4PEs&#10;uuoDk/Rznl/P85xKkmrjfDGdLdJYMlGcjjv04YOClsWg5EhTTfDicO9DbEcUpy3xNg9GVxttTEpw&#10;t10bZAdBDtikLzF4sc1Y1pV8Qt9skOCvGHl+dbVe/wmj1YG8bHRb8gUxIk7JXVG497ZKcRDaDDH1&#10;bOxRySjeIGPotz3TFXWSdI7KbqF6JG0RBu/SW6OgAfzFWUe+Lbn/uReoODMfLc3nejydRqOnZDp7&#10;O6EELyvby4qwkqBKHjgbwnUYHsfeod41dNPJEbc0041Oaj93deyfvJmGcHxH0fyXedr1/NpXTwAA&#10;AP//AwBQSwMEFAAGAAgAAAAhABa+CVzbAAAABQEAAA8AAABkcnMvZG93bnJldi54bWxMj09LxDAU&#10;xO+C3yE8wZubrIeqtekiC/4BBdlVwWPavG2jzUtJ0t3ut/d50uMww8xvqtXsB7HHmFwgDcuFAoHU&#10;Buuo0/D+dn9xDSJlQ9YMgVDDEROs6tOTypQ2HGiD+23uBJdQKo2GPuexlDK1PXqTFmFEYm8XojeZ&#10;ZeykjebA5X6Ql0oV0htHvNCbEdc9tt/byWvYfH48vuyejg/OrN3X65Sa+VlFrc/P5rtbEBnn/BeG&#10;X3xGh5qZmjCRTWLQwEeyBqZn76ZQLBsOXS0LkHUl/9PXPwAAAP//AwBQSwECLQAUAAYACAAAACEA&#10;toM4kv4AAADhAQAAEwAAAAAAAAAAAAAAAAAAAAAAW0NvbnRlbnRfVHlwZXNdLnhtbFBLAQItABQA&#10;BgAIAAAAIQA4/SH/1gAAAJQBAAALAAAAAAAAAAAAAAAAAC8BAABfcmVscy8ucmVsc1BLAQItABQA&#10;BgAIAAAAIQCT5F73HwIAADUEAAAOAAAAAAAAAAAAAAAAAC4CAABkcnMvZTJvRG9jLnhtbFBLAQIt&#10;ABQABgAIAAAAIQAWvglc2wAAAAUBAAAPAAAAAAAAAAAAAAAAAHkEAABkcnMvZG93bnJldi54bWxQ&#10;SwUGAAAAAAQABADzAAAAgQUAAAAA&#10;" strokecolor="#03c" strokeweight="1.75pt">
                <v:textbox style="mso-fit-shape-to-text:t">
                  <w:txbxContent>
                    <w:p w14:paraId="6DAE84C4" w14:textId="77777777" w:rsidR="007954E1" w:rsidRPr="00AF0A22" w:rsidRDefault="007954E1" w:rsidP="007954E1">
                      <w:pPr>
                        <w:rPr>
                          <w:b/>
                          <w:color w:val="FF0000"/>
                        </w:rPr>
                      </w:pPr>
                      <w:r>
                        <w:rPr>
                          <w:b/>
                          <w:color w:val="FF0000"/>
                        </w:rPr>
                        <w:t>EDAM</w:t>
                      </w:r>
                      <w:r w:rsidRPr="00AF0A22">
                        <w:rPr>
                          <w:b/>
                          <w:color w:val="FF0000"/>
                        </w:rPr>
                        <w:t xml:space="preserve"> Demand Response Attestation</w:t>
                      </w:r>
                    </w:p>
                    <w:p w14:paraId="5B283835" w14:textId="77777777" w:rsidR="007954E1" w:rsidRPr="00E854DA" w:rsidRDefault="007954E1" w:rsidP="007954E1">
                      <w:pPr>
                        <w:numPr>
                          <w:ilvl w:val="0"/>
                          <w:numId w:val="152"/>
                        </w:numPr>
                        <w:spacing w:after="0" w:line="240" w:lineRule="auto"/>
                        <w:rPr>
                          <w:rFonts w:ascii="Arial" w:hAnsi="Arial" w:cs="Arial"/>
                          <w:i/>
                          <w:sz w:val="16"/>
                          <w:szCs w:val="16"/>
                        </w:rPr>
                      </w:pPr>
                      <w:r w:rsidRPr="00E854DA">
                        <w:rPr>
                          <w:rFonts w:ascii="Arial" w:hAnsi="Arial" w:cs="Arial"/>
                          <w:i/>
                          <w:sz w:val="16"/>
                          <w:szCs w:val="16"/>
                        </w:rPr>
                        <w:t xml:space="preserve">The following attestation form may be used to acknowledge </w:t>
                      </w:r>
                      <w:r>
                        <w:rPr>
                          <w:rFonts w:ascii="Arial" w:hAnsi="Arial" w:cs="Arial"/>
                          <w:i/>
                          <w:sz w:val="16"/>
                          <w:szCs w:val="16"/>
                        </w:rPr>
                        <w:t>EDAM</w:t>
                      </w:r>
                      <w:r w:rsidRPr="00E854DA">
                        <w:rPr>
                          <w:rFonts w:ascii="Arial" w:hAnsi="Arial" w:cs="Arial"/>
                          <w:i/>
                          <w:sz w:val="16"/>
                          <w:szCs w:val="16"/>
                        </w:rPr>
                        <w:t xml:space="preserve"> Entity responsibilities when accounting for non-participating demand response.  This attestation must be completed and attached to a </w:t>
                      </w:r>
                      <w:r w:rsidRPr="00E854DA">
                        <w:rPr>
                          <w:rFonts w:ascii="Arial" w:hAnsi="Arial" w:cs="Arial"/>
                          <w:i/>
                          <w:color w:val="C00000"/>
                          <w:sz w:val="16"/>
                          <w:szCs w:val="16"/>
                        </w:rPr>
                        <w:t>CIDI ticket with the Subject Line “</w:t>
                      </w:r>
                      <w:r>
                        <w:rPr>
                          <w:rFonts w:ascii="Arial" w:hAnsi="Arial" w:cs="Arial"/>
                          <w:i/>
                          <w:color w:val="C00000"/>
                          <w:sz w:val="16"/>
                          <w:szCs w:val="16"/>
                        </w:rPr>
                        <w:t xml:space="preserve">EDAM </w:t>
                      </w:r>
                      <w:r w:rsidRPr="00E854DA">
                        <w:rPr>
                          <w:rFonts w:ascii="Arial" w:hAnsi="Arial" w:cs="Arial"/>
                          <w:i/>
                          <w:color w:val="C00000"/>
                          <w:sz w:val="16"/>
                          <w:szCs w:val="16"/>
                        </w:rPr>
                        <w:t>RSE Attestation”</w:t>
                      </w:r>
                      <w:r w:rsidRPr="00E854DA">
                        <w:rPr>
                          <w:rFonts w:ascii="Arial" w:hAnsi="Arial" w:cs="Arial"/>
                          <w:i/>
                          <w:sz w:val="16"/>
                          <w:szCs w:val="16"/>
                        </w:rPr>
                        <w:t xml:space="preserve">.  For any desired changes to this attestation after its submission, please contact your Client Representative. </w:t>
                      </w:r>
                    </w:p>
                    <w:p w14:paraId="31011D66" w14:textId="77777777" w:rsidR="007954E1" w:rsidRPr="00E854DA" w:rsidRDefault="007954E1" w:rsidP="007954E1">
                      <w:pPr>
                        <w:pStyle w:val="Header"/>
                        <w:numPr>
                          <w:ilvl w:val="0"/>
                          <w:numId w:val="152"/>
                        </w:numPr>
                        <w:tabs>
                          <w:tab w:val="clear" w:pos="4320"/>
                          <w:tab w:val="clear" w:pos="8640"/>
                        </w:tabs>
                        <w:spacing w:after="0" w:line="240" w:lineRule="auto"/>
                        <w:rPr>
                          <w:rFonts w:ascii="Arial" w:hAnsi="Arial" w:cs="Arial"/>
                          <w:sz w:val="16"/>
                          <w:szCs w:val="16"/>
                        </w:rPr>
                      </w:pPr>
                      <w:r w:rsidRPr="00E854DA">
                        <w:rPr>
                          <w:rFonts w:ascii="Arial" w:hAnsi="Arial" w:cs="Arial"/>
                          <w:sz w:val="16"/>
                          <w:szCs w:val="16"/>
                        </w:rPr>
                        <w:t>To submit documentation, please review</w:t>
                      </w:r>
                      <w:r w:rsidRPr="00E854DA">
                        <w:rPr>
                          <w:rFonts w:ascii="Arial" w:hAnsi="Arial" w:cs="Arial"/>
                          <w:color w:val="0000FF"/>
                          <w:sz w:val="16"/>
                          <w:szCs w:val="16"/>
                        </w:rPr>
                        <w:t xml:space="preserve"> </w:t>
                      </w:r>
                      <w:hyperlink r:id="rId31" w:history="1">
                        <w:r w:rsidRPr="00E854DA">
                          <w:rPr>
                            <w:rStyle w:val="Hyperlink"/>
                            <w:rFonts w:ascii="Arial" w:hAnsi="Arial" w:cs="Arial"/>
                            <w:sz w:val="16"/>
                            <w:szCs w:val="16"/>
                          </w:rPr>
                          <w:t>http://www.caiso.com/Documents/How-to-Submit-Documentation-for-Applications-and-Ongoing-Obligations.pdf</w:t>
                        </w:r>
                      </w:hyperlink>
                      <w:r w:rsidRPr="00E854DA">
                        <w:rPr>
                          <w:rFonts w:ascii="Arial" w:hAnsi="Arial" w:cs="Arial"/>
                          <w:color w:val="0000FF"/>
                          <w:sz w:val="16"/>
                          <w:szCs w:val="16"/>
                        </w:rPr>
                        <w:t xml:space="preserve"> </w:t>
                      </w:r>
                      <w:r w:rsidRPr="00E854DA">
                        <w:rPr>
                          <w:rFonts w:ascii="Arial" w:hAnsi="Arial" w:cs="Arial"/>
                          <w:sz w:val="16"/>
                          <w:szCs w:val="16"/>
                        </w:rPr>
                        <w:t>for proper steps</w:t>
                      </w:r>
                    </w:p>
                    <w:p w14:paraId="12D1AB39" w14:textId="77777777" w:rsidR="007954E1" w:rsidRPr="006E09BA" w:rsidRDefault="007954E1" w:rsidP="007954E1">
                      <w:pPr>
                        <w:ind w:left="720"/>
                        <w:rPr>
                          <w:rFonts w:ascii="Arial" w:hAnsi="Arial" w:cs="Arial"/>
                          <w:sz w:val="18"/>
                          <w:szCs w:val="18"/>
                        </w:rPr>
                      </w:pPr>
                      <w:r w:rsidRPr="006E09BA">
                        <w:rPr>
                          <w:rFonts w:ascii="Arial" w:hAnsi="Arial" w:cs="Arial"/>
                          <w:sz w:val="18"/>
                          <w:szCs w:val="18"/>
                        </w:rPr>
                        <w:t>Letter templates must be printed on applicable company letterhead, signed, scan as a pdf.</w:t>
                      </w:r>
                    </w:p>
                    <w:p w14:paraId="10A26308" w14:textId="77777777" w:rsidR="007954E1" w:rsidRPr="00E854DA" w:rsidRDefault="007954E1" w:rsidP="007954E1">
                      <w:pPr>
                        <w:ind w:left="720"/>
                        <w:rPr>
                          <w:rFonts w:ascii="Arial" w:hAnsi="Arial" w:cs="Arial"/>
                          <w:color w:val="FF0000"/>
                          <w:sz w:val="18"/>
                          <w:szCs w:val="18"/>
                        </w:rPr>
                      </w:pPr>
                      <w:r w:rsidRPr="006E09BA">
                        <w:rPr>
                          <w:rFonts w:ascii="Arial" w:hAnsi="Arial" w:cs="Arial"/>
                          <w:color w:val="FF0000"/>
                          <w:sz w:val="18"/>
                          <w:szCs w:val="18"/>
                        </w:rPr>
                        <w:t>Remove this text box when copying to resource owner letterhead</w:t>
                      </w:r>
                    </w:p>
                  </w:txbxContent>
                </v:textbox>
                <w10:wrap anchorx="margin"/>
              </v:shape>
            </w:pict>
          </mc:Fallback>
        </mc:AlternateContent>
      </w:r>
    </w:p>
    <w:p w14:paraId="32C1E9DA" w14:textId="77777777" w:rsidR="007954E1" w:rsidRDefault="007954E1" w:rsidP="007954E1"/>
    <w:p w14:paraId="54352038" w14:textId="77777777" w:rsidR="007954E1" w:rsidRPr="006A75F8" w:rsidRDefault="007954E1" w:rsidP="007954E1"/>
    <w:p w14:paraId="1521DDE3" w14:textId="77777777" w:rsidR="007954E1" w:rsidRPr="006A75F8" w:rsidRDefault="007954E1" w:rsidP="007954E1">
      <w:pPr>
        <w:pStyle w:val="Header"/>
        <w:tabs>
          <w:tab w:val="clear" w:pos="4320"/>
          <w:tab w:val="clear" w:pos="8640"/>
        </w:tabs>
        <w:spacing w:before="160" w:after="40"/>
        <w:rPr>
          <w:rFonts w:ascii="Arial" w:hAnsi="Arial" w:cs="Arial"/>
          <w:b w:val="0"/>
          <w:i/>
          <w:color w:val="0000FF"/>
        </w:rPr>
      </w:pPr>
      <w:r w:rsidRPr="006A75F8">
        <w:rPr>
          <w:rFonts w:ascii="Arial" w:hAnsi="Arial" w:cs="Arial"/>
          <w:b w:val="0"/>
          <w:i/>
          <w:color w:val="0000FF"/>
        </w:rPr>
        <w:t xml:space="preserve"> </w:t>
      </w:r>
    </w:p>
    <w:p w14:paraId="4F4A0343" w14:textId="77777777" w:rsidR="007954E1" w:rsidRDefault="007954E1" w:rsidP="007954E1">
      <w:pPr>
        <w:rPr>
          <w:rFonts w:ascii="Arial" w:hAnsi="Arial" w:cs="Arial"/>
          <w:b/>
        </w:rPr>
      </w:pPr>
    </w:p>
    <w:p w14:paraId="656C0B36" w14:textId="77777777" w:rsidR="007954E1" w:rsidRDefault="007954E1" w:rsidP="007954E1">
      <w:pPr>
        <w:rPr>
          <w:rFonts w:ascii="Arial" w:hAnsi="Arial" w:cs="Arial"/>
          <w:b/>
        </w:rPr>
      </w:pPr>
    </w:p>
    <w:p w14:paraId="7CF709B4" w14:textId="77777777" w:rsidR="007954E1" w:rsidRDefault="007954E1" w:rsidP="007954E1">
      <w:pPr>
        <w:pStyle w:val="Header"/>
        <w:tabs>
          <w:tab w:val="clear" w:pos="4320"/>
          <w:tab w:val="clear" w:pos="8640"/>
        </w:tabs>
        <w:spacing w:before="160" w:after="40"/>
        <w:rPr>
          <w:rFonts w:ascii="Arial" w:hAnsi="Arial" w:cs="Arial"/>
          <w:b w:val="0"/>
        </w:rPr>
      </w:pPr>
    </w:p>
    <w:p w14:paraId="2C3C3E98" w14:textId="77777777" w:rsidR="007954E1" w:rsidRPr="00906772" w:rsidRDefault="007954E1" w:rsidP="007954E1">
      <w:pPr>
        <w:pStyle w:val="Header"/>
        <w:tabs>
          <w:tab w:val="clear" w:pos="4320"/>
          <w:tab w:val="clear" w:pos="8640"/>
        </w:tabs>
        <w:spacing w:before="160" w:after="40"/>
        <w:rPr>
          <w:rFonts w:ascii="Arial" w:hAnsi="Arial" w:cs="Arial"/>
        </w:rPr>
      </w:pPr>
      <w:r w:rsidRPr="00906772">
        <w:rPr>
          <w:rFonts w:ascii="Arial" w:hAnsi="Arial" w:cs="Arial"/>
          <w:b w:val="0"/>
          <w:i/>
          <w:color w:val="0000FF"/>
        </w:rPr>
        <w:t>[Current Date]</w:t>
      </w:r>
    </w:p>
    <w:p w14:paraId="1E3A1EF8" w14:textId="77777777" w:rsidR="007954E1" w:rsidRDefault="007954E1" w:rsidP="007954E1">
      <w:pPr>
        <w:pStyle w:val="Header"/>
        <w:tabs>
          <w:tab w:val="clear" w:pos="4320"/>
          <w:tab w:val="clear" w:pos="8640"/>
        </w:tabs>
        <w:spacing w:after="0"/>
        <w:rPr>
          <w:rFonts w:ascii="Arial" w:hAnsi="Arial" w:cs="Arial"/>
          <w:b w:val="0"/>
        </w:rPr>
      </w:pPr>
    </w:p>
    <w:p w14:paraId="36C2CA17" w14:textId="77777777" w:rsidR="007954E1" w:rsidRPr="00CC21FE" w:rsidRDefault="007954E1" w:rsidP="007954E1">
      <w:pPr>
        <w:pStyle w:val="Header"/>
        <w:tabs>
          <w:tab w:val="clear" w:pos="4320"/>
          <w:tab w:val="clear" w:pos="8640"/>
        </w:tabs>
        <w:spacing w:after="0"/>
        <w:rPr>
          <w:rFonts w:ascii="Arial" w:hAnsi="Arial" w:cs="Arial"/>
          <w:b w:val="0"/>
        </w:rPr>
      </w:pPr>
      <w:r w:rsidRPr="00CC21FE">
        <w:rPr>
          <w:rFonts w:ascii="Arial" w:hAnsi="Arial" w:cs="Arial"/>
          <w:b w:val="0"/>
        </w:rPr>
        <w:t>California Independent System Operator</w:t>
      </w:r>
    </w:p>
    <w:p w14:paraId="69CF9E75" w14:textId="77777777" w:rsidR="007954E1" w:rsidRPr="00CC21FE" w:rsidRDefault="007954E1" w:rsidP="007954E1">
      <w:pPr>
        <w:pStyle w:val="Header"/>
        <w:tabs>
          <w:tab w:val="clear" w:pos="4320"/>
          <w:tab w:val="clear" w:pos="8640"/>
        </w:tabs>
        <w:spacing w:after="0"/>
        <w:rPr>
          <w:rFonts w:ascii="Arial" w:hAnsi="Arial" w:cs="Arial"/>
          <w:b w:val="0"/>
        </w:rPr>
      </w:pPr>
      <w:r w:rsidRPr="00CC21FE">
        <w:rPr>
          <w:rFonts w:ascii="Arial" w:hAnsi="Arial" w:cs="Arial"/>
          <w:b w:val="0"/>
        </w:rPr>
        <w:t>250 Outcropping Way</w:t>
      </w:r>
    </w:p>
    <w:p w14:paraId="5CFEE0FE" w14:textId="77777777" w:rsidR="007954E1" w:rsidRDefault="007954E1" w:rsidP="007954E1">
      <w:pPr>
        <w:pStyle w:val="Header"/>
        <w:tabs>
          <w:tab w:val="clear" w:pos="4320"/>
          <w:tab w:val="clear" w:pos="8640"/>
        </w:tabs>
        <w:rPr>
          <w:rFonts w:ascii="Arial" w:hAnsi="Arial" w:cs="Arial"/>
          <w:b w:val="0"/>
        </w:rPr>
      </w:pPr>
      <w:r w:rsidRPr="00CC21FE">
        <w:rPr>
          <w:rFonts w:ascii="Arial" w:hAnsi="Arial" w:cs="Arial"/>
          <w:b w:val="0"/>
        </w:rPr>
        <w:t>Folsom, CA 95630</w:t>
      </w:r>
    </w:p>
    <w:p w14:paraId="390A5F18" w14:textId="77777777" w:rsidR="007954E1" w:rsidRPr="00E854DA" w:rsidRDefault="007954E1" w:rsidP="007954E1">
      <w:pPr>
        <w:pStyle w:val="Header"/>
        <w:tabs>
          <w:tab w:val="clear" w:pos="4320"/>
          <w:tab w:val="clear" w:pos="8640"/>
        </w:tabs>
        <w:spacing w:before="240" w:after="40"/>
        <w:rPr>
          <w:rFonts w:ascii="Arial" w:hAnsi="Arial" w:cs="Arial"/>
          <w:b w:val="0"/>
          <w:color w:val="000000" w:themeColor="text1"/>
        </w:rPr>
      </w:pPr>
      <w:r w:rsidRPr="00E854DA">
        <w:rPr>
          <w:rFonts w:ascii="Arial" w:hAnsi="Arial" w:cs="Arial"/>
          <w:b w:val="0"/>
          <w:color w:val="000000" w:themeColor="text1"/>
        </w:rPr>
        <w:t xml:space="preserve">Dear </w:t>
      </w:r>
      <w:r w:rsidRPr="00906772">
        <w:rPr>
          <w:rFonts w:ascii="Arial" w:hAnsi="Arial" w:cs="Arial"/>
          <w:b w:val="0"/>
          <w:i/>
          <w:color w:val="0000FF"/>
        </w:rPr>
        <w:t>[SC Requests]</w:t>
      </w:r>
      <w:r w:rsidRPr="00906772">
        <w:rPr>
          <w:rFonts w:ascii="Arial" w:hAnsi="Arial" w:cs="Arial"/>
        </w:rPr>
        <w:t>:</w:t>
      </w:r>
    </w:p>
    <w:p w14:paraId="5DEEE7FF" w14:textId="77777777" w:rsidR="007954E1" w:rsidRDefault="007954E1" w:rsidP="007954E1">
      <w:pPr>
        <w:rPr>
          <w:rFonts w:ascii="Arial" w:hAnsi="Arial" w:cs="Arial"/>
        </w:rPr>
      </w:pPr>
    </w:p>
    <w:p w14:paraId="3146F808" w14:textId="77777777" w:rsidR="007954E1" w:rsidRDefault="007954E1" w:rsidP="007954E1">
      <w:pPr>
        <w:rPr>
          <w:rFonts w:ascii="Arial" w:hAnsi="Arial" w:cs="Arial"/>
        </w:rPr>
      </w:pPr>
      <w:r w:rsidRPr="006D62E8">
        <w:rPr>
          <w:rFonts w:ascii="Arial" w:hAnsi="Arial" w:cs="Arial"/>
        </w:rPr>
        <w:t xml:space="preserve">I, </w:t>
      </w:r>
      <w:r>
        <w:rPr>
          <w:rFonts w:ascii="Arial" w:hAnsi="Arial" w:cs="Arial"/>
        </w:rPr>
        <w:t>[_______</w:t>
      </w:r>
      <w:r w:rsidRPr="006D62E8">
        <w:rPr>
          <w:rFonts w:ascii="Arial" w:hAnsi="Arial" w:cs="Arial"/>
        </w:rPr>
        <w:t xml:space="preserve">, </w:t>
      </w:r>
      <w:r w:rsidRPr="006D62E8">
        <w:rPr>
          <w:rFonts w:ascii="Arial" w:hAnsi="Arial" w:cs="Arial"/>
          <w:u w:val="single"/>
        </w:rPr>
        <w:t>Title, Depart</w:t>
      </w:r>
      <w:r>
        <w:rPr>
          <w:rFonts w:ascii="Arial" w:hAnsi="Arial" w:cs="Arial"/>
          <w:u w:val="single"/>
        </w:rPr>
        <w:t>ment</w:t>
      </w:r>
      <w:r w:rsidRPr="006D62E8">
        <w:rPr>
          <w:rFonts w:ascii="Arial" w:hAnsi="Arial" w:cs="Arial"/>
          <w:u w:val="single"/>
        </w:rPr>
        <w:t>,</w:t>
      </w:r>
      <w:r>
        <w:rPr>
          <w:rFonts w:ascii="Arial" w:hAnsi="Arial" w:cs="Arial"/>
          <w:u w:val="single"/>
        </w:rPr>
        <w:t xml:space="preserve"> EDAM </w:t>
      </w:r>
      <w:r w:rsidRPr="006D62E8">
        <w:rPr>
          <w:rFonts w:ascii="Arial" w:hAnsi="Arial" w:cs="Arial"/>
          <w:u w:val="single"/>
        </w:rPr>
        <w:t>Entity</w:t>
      </w:r>
      <w:r>
        <w:rPr>
          <w:rFonts w:ascii="Arial" w:hAnsi="Arial" w:cs="Arial"/>
          <w:u w:val="single"/>
        </w:rPr>
        <w:t>]</w:t>
      </w:r>
      <w:r w:rsidRPr="006D62E8">
        <w:rPr>
          <w:rFonts w:ascii="Arial" w:hAnsi="Arial" w:cs="Arial"/>
        </w:rPr>
        <w:t xml:space="preserve">, with my knowledge and experience given my position with </w:t>
      </w:r>
      <w:r>
        <w:rPr>
          <w:rFonts w:ascii="Arial" w:hAnsi="Arial" w:cs="Arial"/>
        </w:rPr>
        <w:t>[</w:t>
      </w:r>
      <w:r>
        <w:rPr>
          <w:rFonts w:ascii="Arial" w:hAnsi="Arial" w:cs="Arial"/>
          <w:u w:val="single"/>
        </w:rPr>
        <w:t>EDAM</w:t>
      </w:r>
      <w:r w:rsidRPr="002B2A93">
        <w:rPr>
          <w:rFonts w:ascii="Arial" w:hAnsi="Arial" w:cs="Arial"/>
          <w:u w:val="single"/>
        </w:rPr>
        <w:t xml:space="preserve"> </w:t>
      </w:r>
      <w:r w:rsidRPr="006D62E8">
        <w:rPr>
          <w:rFonts w:ascii="Arial" w:hAnsi="Arial" w:cs="Arial"/>
          <w:u w:val="single"/>
        </w:rPr>
        <w:t>Entity</w:t>
      </w:r>
      <w:r>
        <w:rPr>
          <w:rFonts w:ascii="Arial" w:hAnsi="Arial" w:cs="Arial"/>
          <w:u w:val="single"/>
        </w:rPr>
        <w:t>]</w:t>
      </w:r>
      <w:r w:rsidRPr="006D62E8">
        <w:rPr>
          <w:rFonts w:ascii="Arial" w:hAnsi="Arial" w:cs="Arial"/>
        </w:rPr>
        <w:t>, attest as follows</w:t>
      </w:r>
    </w:p>
    <w:p w14:paraId="0AA60EF2" w14:textId="77777777" w:rsidR="007954E1" w:rsidRDefault="007954E1" w:rsidP="007954E1">
      <w:pPr>
        <w:rPr>
          <w:rFonts w:ascii="Arial" w:hAnsi="Arial" w:cs="Arial"/>
        </w:rPr>
      </w:pPr>
      <w:r w:rsidRPr="00662225">
        <w:rPr>
          <w:rFonts w:ascii="Arial" w:hAnsi="Arial" w:cs="Arial"/>
        </w:rPr>
        <w:t xml:space="preserve">The CAISO </w:t>
      </w:r>
      <w:r>
        <w:rPr>
          <w:rFonts w:ascii="Arial" w:hAnsi="Arial" w:cs="Arial"/>
        </w:rPr>
        <w:t>allows</w:t>
      </w:r>
      <w:r w:rsidRPr="00662225">
        <w:rPr>
          <w:rFonts w:ascii="Arial" w:hAnsi="Arial" w:cs="Arial"/>
        </w:rPr>
        <w:t xml:space="preserve"> the demand response reductions </w:t>
      </w:r>
      <w:r>
        <w:rPr>
          <w:rFonts w:ascii="Arial" w:hAnsi="Arial" w:cs="Arial"/>
        </w:rPr>
        <w:t xml:space="preserve">not otherwise accounted for in the market </w:t>
      </w:r>
      <w:r w:rsidRPr="00662225">
        <w:rPr>
          <w:rFonts w:ascii="Arial" w:hAnsi="Arial" w:cs="Arial"/>
        </w:rPr>
        <w:t>to be</w:t>
      </w:r>
      <w:r>
        <w:rPr>
          <w:rFonts w:ascii="Arial" w:hAnsi="Arial" w:cs="Arial"/>
        </w:rPr>
        <w:t xml:space="preserve"> </w:t>
      </w:r>
      <w:r w:rsidRPr="00662225">
        <w:rPr>
          <w:rFonts w:ascii="Arial" w:hAnsi="Arial" w:cs="Arial"/>
        </w:rPr>
        <w:t xml:space="preserve">included in, or excluded from, the generated </w:t>
      </w:r>
      <w:r>
        <w:rPr>
          <w:rFonts w:ascii="Arial" w:hAnsi="Arial" w:cs="Arial"/>
        </w:rPr>
        <w:t xml:space="preserve">demand </w:t>
      </w:r>
      <w:r w:rsidRPr="00662225">
        <w:rPr>
          <w:rFonts w:ascii="Arial" w:hAnsi="Arial" w:cs="Arial"/>
        </w:rPr>
        <w:t>forecast</w:t>
      </w:r>
      <w:r>
        <w:rPr>
          <w:rFonts w:ascii="Arial" w:hAnsi="Arial" w:cs="Arial"/>
        </w:rPr>
        <w:t xml:space="preserve"> referenced in the EDAM Day Ahead Resource Sufficiency Evaluation (EDAM RSE)</w:t>
      </w:r>
      <w:r w:rsidRPr="00662225">
        <w:rPr>
          <w:rFonts w:ascii="Arial" w:hAnsi="Arial" w:cs="Arial"/>
        </w:rPr>
        <w:t xml:space="preserve">, based </w:t>
      </w:r>
      <w:r>
        <w:rPr>
          <w:rFonts w:ascii="Arial" w:hAnsi="Arial" w:cs="Arial"/>
        </w:rPr>
        <w:t>on this atte</w:t>
      </w:r>
      <w:r w:rsidRPr="00662225">
        <w:rPr>
          <w:rFonts w:ascii="Arial" w:hAnsi="Arial" w:cs="Arial"/>
        </w:rPr>
        <w:t>station</w:t>
      </w:r>
      <w:r>
        <w:rPr>
          <w:rFonts w:ascii="Arial" w:hAnsi="Arial" w:cs="Arial"/>
        </w:rPr>
        <w:t>.</w:t>
      </w:r>
    </w:p>
    <w:p w14:paraId="1F980AB2" w14:textId="77777777" w:rsidR="007954E1" w:rsidRDefault="007954E1" w:rsidP="007954E1">
      <w:pPr>
        <w:rPr>
          <w:rFonts w:ascii="Arial" w:hAnsi="Arial" w:cs="Arial"/>
        </w:rPr>
      </w:pPr>
      <w:r>
        <w:rPr>
          <w:rFonts w:ascii="Arial" w:hAnsi="Arial" w:cs="Arial"/>
        </w:rPr>
        <w:t xml:space="preserve">Pursuant to the </w:t>
      </w:r>
      <w:r w:rsidRPr="00A67F51">
        <w:rPr>
          <w:rFonts w:ascii="Arial" w:hAnsi="Arial" w:cs="Arial"/>
        </w:rPr>
        <w:t xml:space="preserve">CAISO Tariff </w:t>
      </w:r>
      <w:r>
        <w:rPr>
          <w:rFonts w:ascii="Arial" w:hAnsi="Arial" w:cs="Arial"/>
        </w:rPr>
        <w:t>Section 33.31.4.1 the [</w:t>
      </w:r>
      <w:r>
        <w:rPr>
          <w:rFonts w:ascii="Arial" w:hAnsi="Arial" w:cs="Arial"/>
          <w:u w:val="single"/>
        </w:rPr>
        <w:t>EDAM</w:t>
      </w:r>
      <w:r w:rsidRPr="002B2A93">
        <w:rPr>
          <w:rFonts w:ascii="Arial" w:hAnsi="Arial" w:cs="Arial"/>
          <w:u w:val="single"/>
        </w:rPr>
        <w:t xml:space="preserve"> Entity</w:t>
      </w:r>
      <w:r>
        <w:rPr>
          <w:rFonts w:ascii="Arial" w:hAnsi="Arial" w:cs="Arial"/>
        </w:rPr>
        <w:t>] shall</w:t>
      </w:r>
      <w:r w:rsidRPr="00A67F51">
        <w:rPr>
          <w:rFonts w:ascii="Arial" w:hAnsi="Arial" w:cs="Arial"/>
        </w:rPr>
        <w:t xml:space="preserve"> utilize a demand response program </w:t>
      </w:r>
      <w:r>
        <w:rPr>
          <w:rFonts w:ascii="Arial" w:hAnsi="Arial" w:cs="Arial"/>
        </w:rPr>
        <w:t>such that</w:t>
      </w:r>
      <w:r w:rsidRPr="00A67F51">
        <w:rPr>
          <w:rFonts w:ascii="Arial" w:hAnsi="Arial" w:cs="Arial"/>
        </w:rPr>
        <w:t xml:space="preserve"> adjustments made to the demand forecast used by the </w:t>
      </w:r>
      <w:r>
        <w:rPr>
          <w:rFonts w:ascii="Arial" w:hAnsi="Arial" w:cs="Arial"/>
        </w:rPr>
        <w:t xml:space="preserve">EDAM </w:t>
      </w:r>
      <w:r w:rsidRPr="00A67F51">
        <w:rPr>
          <w:rFonts w:ascii="Arial" w:hAnsi="Arial" w:cs="Arial"/>
        </w:rPr>
        <w:t>R</w:t>
      </w:r>
      <w:r>
        <w:rPr>
          <w:rFonts w:ascii="Arial" w:hAnsi="Arial" w:cs="Arial"/>
        </w:rPr>
        <w:t xml:space="preserve">SE </w:t>
      </w:r>
      <w:r w:rsidRPr="00A67F51">
        <w:rPr>
          <w:rFonts w:ascii="Arial" w:hAnsi="Arial" w:cs="Arial"/>
        </w:rPr>
        <w:t xml:space="preserve">correspond to expected increases or reductions in demand provided by its </w:t>
      </w:r>
      <w:r>
        <w:rPr>
          <w:rFonts w:ascii="Arial" w:hAnsi="Arial" w:cs="Arial"/>
        </w:rPr>
        <w:t xml:space="preserve">demand response </w:t>
      </w:r>
      <w:r w:rsidRPr="00A67F51">
        <w:rPr>
          <w:rFonts w:ascii="Arial" w:hAnsi="Arial" w:cs="Arial"/>
        </w:rPr>
        <w:t>program.</w:t>
      </w:r>
    </w:p>
    <w:p w14:paraId="26DF0BA8" w14:textId="77777777" w:rsidR="007954E1" w:rsidRDefault="007954E1" w:rsidP="007954E1">
      <w:pPr>
        <w:rPr>
          <w:rFonts w:ascii="Arial" w:hAnsi="Arial" w:cs="Arial"/>
        </w:rPr>
      </w:pPr>
      <w:r>
        <w:rPr>
          <w:rFonts w:ascii="Arial" w:hAnsi="Arial" w:cs="Arial"/>
        </w:rPr>
        <w:t>[</w:t>
      </w:r>
      <w:r w:rsidRPr="007776FD">
        <w:rPr>
          <w:rFonts w:ascii="Arial" w:hAnsi="Arial" w:cs="Arial"/>
          <w:u w:val="single"/>
        </w:rPr>
        <w:t>EDAM Entity</w:t>
      </w:r>
      <w:r>
        <w:rPr>
          <w:rFonts w:ascii="Arial" w:hAnsi="Arial" w:cs="Arial"/>
        </w:rPr>
        <w:t xml:space="preserve">] certifies the adjustments made to its Demand Forecast for EDAM will correspond to expected increases or reductions in demand provided by its respective demand response.  </w:t>
      </w:r>
    </w:p>
    <w:p w14:paraId="55CF0053" w14:textId="77777777" w:rsidR="007954E1" w:rsidRDefault="007954E1" w:rsidP="007954E1">
      <w:pPr>
        <w:rPr>
          <w:rFonts w:ascii="Arial" w:hAnsi="Arial" w:cs="Arial"/>
        </w:rPr>
      </w:pPr>
      <w:r>
        <w:rPr>
          <w:rFonts w:ascii="Arial" w:hAnsi="Arial" w:cs="Arial"/>
        </w:rPr>
        <w:t>[</w:t>
      </w:r>
      <w:r w:rsidRPr="007776FD">
        <w:rPr>
          <w:rFonts w:ascii="Arial" w:hAnsi="Arial" w:cs="Arial"/>
          <w:u w:val="single"/>
        </w:rPr>
        <w:t>EDAM Entity</w:t>
      </w:r>
      <w:r>
        <w:rPr>
          <w:rFonts w:ascii="Arial" w:hAnsi="Arial" w:cs="Arial"/>
        </w:rPr>
        <w:t xml:space="preserve">] certifies all submitted demand response adjustments to the EDAM demand forecast shall not include any amounts of demand response that is scheduled and accounted for as Contingency Reserves that are subject to NERC/WECC standards. </w:t>
      </w:r>
    </w:p>
    <w:p w14:paraId="014C5742" w14:textId="77777777" w:rsidR="007954E1" w:rsidRPr="006D62E8" w:rsidRDefault="007954E1" w:rsidP="007954E1">
      <w:pPr>
        <w:rPr>
          <w:rFonts w:ascii="Arial" w:hAnsi="Arial" w:cs="Arial"/>
        </w:rPr>
      </w:pPr>
      <w:r w:rsidRPr="006D62E8">
        <w:rPr>
          <w:rFonts w:ascii="Arial" w:hAnsi="Arial" w:cs="Arial"/>
        </w:rPr>
        <w:t>I declare under penalty of perjury pursuant to 28 USC 1746 and the laws of the State of California that, to the best of my knowledge, the foregoing is true and correct.  Executed on</w:t>
      </w:r>
      <w:r>
        <w:rPr>
          <w:rFonts w:ascii="Arial" w:hAnsi="Arial" w:cs="Arial"/>
        </w:rPr>
        <w:t xml:space="preserve"> [month, day</w:t>
      </w:r>
      <w:r w:rsidRPr="006D62E8">
        <w:rPr>
          <w:rFonts w:ascii="Arial" w:hAnsi="Arial" w:cs="Arial"/>
        </w:rPr>
        <w:t>, 20</w:t>
      </w:r>
      <w:r>
        <w:rPr>
          <w:rFonts w:ascii="Arial" w:hAnsi="Arial" w:cs="Arial"/>
        </w:rPr>
        <w:t xml:space="preserve">2_] </w:t>
      </w:r>
      <w:r w:rsidRPr="006D62E8">
        <w:rPr>
          <w:rFonts w:ascii="Arial" w:hAnsi="Arial" w:cs="Arial"/>
        </w:rPr>
        <w:t xml:space="preserve">(“Execution Date”). </w:t>
      </w:r>
    </w:p>
    <w:p w14:paraId="68BC300D" w14:textId="77777777" w:rsidR="007954E1" w:rsidRPr="006D62E8" w:rsidRDefault="007954E1" w:rsidP="007954E1">
      <w:pPr>
        <w:rPr>
          <w:rFonts w:ascii="Arial" w:hAnsi="Arial" w:cs="Arial"/>
        </w:rPr>
      </w:pPr>
    </w:p>
    <w:p w14:paraId="168C61F4" w14:textId="77777777" w:rsidR="007954E1" w:rsidRPr="006D62E8" w:rsidRDefault="007954E1" w:rsidP="007954E1">
      <w:pPr>
        <w:rPr>
          <w:rFonts w:ascii="Arial" w:hAnsi="Arial" w:cs="Arial"/>
        </w:rPr>
      </w:pPr>
      <w:r>
        <w:rPr>
          <w:rFonts w:ascii="Arial" w:hAnsi="Arial" w:cs="Arial"/>
        </w:rPr>
        <w:t xml:space="preserve">EDAM Entity </w:t>
      </w:r>
    </w:p>
    <w:p w14:paraId="22969CEB" w14:textId="77777777" w:rsidR="007954E1" w:rsidRPr="006D62E8" w:rsidRDefault="007954E1" w:rsidP="007954E1">
      <w:pPr>
        <w:rPr>
          <w:rFonts w:ascii="Arial" w:hAnsi="Arial" w:cs="Arial"/>
        </w:rPr>
      </w:pPr>
      <w:r w:rsidRPr="006D62E8">
        <w:rPr>
          <w:rFonts w:ascii="Arial" w:hAnsi="Arial" w:cs="Arial"/>
        </w:rPr>
        <w:lastRenderedPageBreak/>
        <w:t xml:space="preserve">By: _______________________________________________ </w:t>
      </w:r>
    </w:p>
    <w:p w14:paraId="070E9D98" w14:textId="77777777" w:rsidR="007954E1" w:rsidRPr="006D62E8" w:rsidRDefault="007954E1" w:rsidP="007954E1">
      <w:pPr>
        <w:rPr>
          <w:rFonts w:ascii="Arial" w:hAnsi="Arial" w:cs="Arial"/>
        </w:rPr>
      </w:pPr>
      <w:r>
        <w:rPr>
          <w:rFonts w:ascii="Arial" w:hAnsi="Arial" w:cs="Arial"/>
        </w:rPr>
        <w:t>Name</w:t>
      </w:r>
      <w:r w:rsidRPr="006D62E8">
        <w:rPr>
          <w:rFonts w:ascii="Arial" w:hAnsi="Arial" w:cs="Arial"/>
        </w:rPr>
        <w:t>, Title, Depart,</w:t>
      </w:r>
      <w:r>
        <w:rPr>
          <w:rFonts w:ascii="Arial" w:hAnsi="Arial" w:cs="Arial"/>
        </w:rPr>
        <w:t xml:space="preserve"> EDAM </w:t>
      </w:r>
      <w:r w:rsidRPr="006D62E8">
        <w:rPr>
          <w:rFonts w:ascii="Arial" w:hAnsi="Arial" w:cs="Arial"/>
        </w:rPr>
        <w:t xml:space="preserve">Entity </w:t>
      </w:r>
    </w:p>
    <w:p w14:paraId="56C088DD" w14:textId="77777777" w:rsidR="007954E1" w:rsidRPr="000D6751" w:rsidRDefault="007954E1" w:rsidP="007954E1"/>
    <w:p w14:paraId="334F6C6A" w14:textId="05F4B0A6" w:rsidR="007954E1" w:rsidRDefault="007954E1">
      <w:r>
        <w:br w:type="page"/>
      </w:r>
    </w:p>
    <w:p w14:paraId="17298907" w14:textId="77777777" w:rsidR="007954E1" w:rsidRDefault="007954E1" w:rsidP="007954E1"/>
    <w:p w14:paraId="26D8FEAA" w14:textId="77777777" w:rsidR="003B5909" w:rsidRDefault="003B5909" w:rsidP="00212FCB">
      <w:pPr>
        <w:pStyle w:val="ListParagraph"/>
      </w:pPr>
    </w:p>
    <w:p w14:paraId="10C1FC2A" w14:textId="77777777" w:rsidR="00730739" w:rsidRDefault="00730739" w:rsidP="00212FCB">
      <w:pPr>
        <w:pStyle w:val="ListParagraph"/>
      </w:pPr>
    </w:p>
    <w:p w14:paraId="2A00B339" w14:textId="77777777" w:rsidR="00730739" w:rsidRDefault="00730739" w:rsidP="00212FCB">
      <w:pPr>
        <w:pStyle w:val="ListParagraph"/>
      </w:pPr>
    </w:p>
    <w:p w14:paraId="296A376E" w14:textId="77777777" w:rsidR="00730739" w:rsidRDefault="00730739" w:rsidP="00212FCB">
      <w:pPr>
        <w:pStyle w:val="ListParagraph"/>
      </w:pPr>
    </w:p>
    <w:p w14:paraId="46B9A26C" w14:textId="77777777" w:rsidR="00730739" w:rsidRDefault="00730739" w:rsidP="00212FCB">
      <w:pPr>
        <w:pStyle w:val="ListParagraph"/>
      </w:pPr>
    </w:p>
    <w:p w14:paraId="3588AA5F" w14:textId="77777777" w:rsidR="00730739" w:rsidRDefault="00730739" w:rsidP="00212FCB">
      <w:pPr>
        <w:pStyle w:val="ListParagraph"/>
      </w:pPr>
    </w:p>
    <w:p w14:paraId="33391BE5" w14:textId="77777777" w:rsidR="00730739" w:rsidRDefault="00730739" w:rsidP="00212FCB">
      <w:pPr>
        <w:pStyle w:val="ListParagraph"/>
      </w:pPr>
    </w:p>
    <w:sectPr w:rsidR="00730739" w:rsidSect="009003C0">
      <w:footerReference w:type="default" r:id="rId32"/>
      <w:pgSz w:w="12240" w:h="15840"/>
      <w:pgMar w:top="1728" w:right="1440" w:bottom="172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4AC0" w14:textId="77777777" w:rsidR="00B83728" w:rsidRDefault="00B83728" w:rsidP="00E14135">
      <w:pPr>
        <w:spacing w:after="0" w:line="240" w:lineRule="auto"/>
      </w:pPr>
      <w:r>
        <w:separator/>
      </w:r>
    </w:p>
  </w:endnote>
  <w:endnote w:type="continuationSeparator" w:id="0">
    <w:p w14:paraId="70758EB1" w14:textId="77777777" w:rsidR="00B83728" w:rsidRDefault="00B83728" w:rsidP="00E14135">
      <w:pPr>
        <w:spacing w:after="0" w:line="240" w:lineRule="auto"/>
      </w:pPr>
      <w:r>
        <w:continuationSeparator/>
      </w:r>
    </w:p>
  </w:endnote>
  <w:endnote w:type="continuationNotice" w:id="1">
    <w:p w14:paraId="5DCD3AAE" w14:textId="77777777" w:rsidR="00B83728" w:rsidRDefault="00B83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0632" w14:textId="77777777" w:rsidR="00B83728" w:rsidRDefault="00B837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66CC0" w14:textId="77777777" w:rsidR="00B83728" w:rsidRDefault="00B837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1B82" w14:textId="77777777" w:rsidR="00B83728" w:rsidRDefault="00B83728">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FA5D" w14:textId="5437BFD4" w:rsidR="00B83728" w:rsidRDefault="00B83728">
    <w:pPr>
      <w:pStyle w:val="Footer"/>
    </w:pPr>
    <w:r>
      <w:rPr>
        <w:noProof/>
      </w:rPr>
      <mc:AlternateContent>
        <mc:Choice Requires="wps">
          <w:drawing>
            <wp:anchor distT="0" distB="0" distL="114300" distR="114300" simplePos="0" relativeHeight="251657216" behindDoc="0" locked="0" layoutInCell="0" allowOverlap="1" wp14:anchorId="3A1624DE" wp14:editId="7E911F01">
              <wp:simplePos x="0" y="0"/>
              <wp:positionH relativeFrom="column">
                <wp:posOffset>-31750</wp:posOffset>
              </wp:positionH>
              <wp:positionV relativeFrom="paragraph">
                <wp:posOffset>-32385</wp:posOffset>
              </wp:positionV>
              <wp:extent cx="5986145" cy="0"/>
              <wp:effectExtent l="15875" t="15240" r="17780" b="228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665B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cmsQEAAEkDAAAOAAAAZHJzL2Uyb0RvYy54bWysU8Fu2zAMvQ/YPwi6L06CpcuMOD2k6y7d&#10;FqDdBzCSbAuVRYFU4uTvJ6lJWmy3oT4IpEg+PT7Sq9vj4MTBEFv0jZxNplIYr1Bb3zXy99P9p6UU&#10;HMFrcOhNI0+G5e3644fVGGozxx6dNiQSiOd6DI3sYwx1VbHqzQA8wWB8CrZIA8TkUldpgjGhD66a&#10;T6c31YikA6EyzOn27iUo1wW/bY2Kv9qWTRSukYlbLCeVc5fPar2CuiMIvVVnGvAfLAawPj16hbqD&#10;CGJP9h+owSpCxjZOFA4Vtq1VpvSQuplN/+rmsYdgSi9JHA5Xmfj9YNXPw8ZvKVNXR/8YHlA9s/C4&#10;6cF3phB4OoU0uFmWqhoD19eS7HDYktiNP1CnHNhHLCocWxoyZOpPHIvYp6vY5hiFSpeLr8ub2eeF&#10;FOoSq6C+FAbi+N3gILLRSGd91gFqODxwzESgvqTka4/31rkyS+fF2Mj5cvFlUSoYndU5mvOYut3G&#10;kThAXofylbZS5G0a4d7rgtYb0N/OdgTrXuz0uvNnNbIAedu43qE+bemiUppXoXnerbwQb/1S/foH&#10;rP8AAAD//wMAUEsDBBQABgAIAAAAIQB8TMnJ3QAAAAgBAAAPAAAAZHJzL2Rvd25yZXYueG1sTI9B&#10;a8JAEIXvBf/DMkIvRTdaWm2ajajQmwi1pfQ4yY5JaHY27K4m/vuueGhPw8x7vPlethpMK87kfGNZ&#10;wWyagCAurW64UvD58TZZgvABWWNrmRRcyMMqH91lmGrb8zudD6ESMYR9igrqELpUSl/WZNBPbUcc&#10;taN1BkNcXSW1wz6Gm1bOk+RZGmw4fqixo21N5c/hZBSUuN/u8fglewzf681Dsbu4aqnU/XhYv4II&#10;NIQ/M1zxIzrkkamwJ9ZetAomT7FKuM4ZiKi/PC4WIIrbQeaZ/F8g/wUAAP//AwBQSwECLQAUAAYA&#10;CAAAACEAtoM4kv4AAADhAQAAEwAAAAAAAAAAAAAAAAAAAAAAW0NvbnRlbnRfVHlwZXNdLnhtbFBL&#10;AQItABQABgAIAAAAIQA4/SH/1gAAAJQBAAALAAAAAAAAAAAAAAAAAC8BAABfcmVscy8ucmVsc1BL&#10;AQItABQABgAIAAAAIQAhoscmsQEAAEkDAAAOAAAAAAAAAAAAAAAAAC4CAABkcnMvZTJvRG9jLnht&#10;bFBLAQItABQABgAIAAAAIQB8TMnJ3QAAAAgBAAAPAAAAAAAAAAAAAAAAAAsEAABkcnMvZG93bnJl&#10;di54bWxQSwUGAAAAAAQABADzAAAAFQUAAAAA&#10;" o:allowincell="f" strokeweight="2.25pt"/>
          </w:pict>
        </mc:Fallback>
      </mc:AlternateConten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18E9" w14:textId="3AC032E0" w:rsidR="00B83728" w:rsidRDefault="00B83728" w:rsidP="009003C0">
    <w:pPr>
      <w:pStyle w:val="Footer"/>
      <w:framePr w:w="705" w:wrap="around" w:vAnchor="text" w:hAnchor="page" w:x="10115" w:y="68"/>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8106FC">
      <w:rPr>
        <w:rStyle w:val="PageNumber"/>
        <w:i w:val="0"/>
        <w:iCs/>
        <w:noProof/>
        <w:sz w:val="16"/>
      </w:rPr>
      <w:t>ii</w:t>
    </w:r>
    <w:r>
      <w:rPr>
        <w:rStyle w:val="PageNumber"/>
        <w:i w:val="0"/>
        <w:iCs/>
        <w:sz w:val="16"/>
      </w:rPr>
      <w:fldChar w:fldCharType="end"/>
    </w:r>
  </w:p>
  <w:p w14:paraId="4E7371EB" w14:textId="7B7AE05D" w:rsidR="00B83728" w:rsidRDefault="00B83728">
    <w:pPr>
      <w:pStyle w:val="Footer"/>
      <w:tabs>
        <w:tab w:val="center" w:pos="4680"/>
      </w:tabs>
      <w:rPr>
        <w:i w:val="0"/>
        <w:iCs/>
        <w:sz w:val="16"/>
      </w:rPr>
    </w:pPr>
    <w:r>
      <w:rPr>
        <w:i w:val="0"/>
        <w:iCs/>
        <w:sz w:val="16"/>
      </w:rPr>
      <w:t>Version 1</w:t>
    </w:r>
    <w:r>
      <w:rPr>
        <w:i w:val="0"/>
        <w:iCs/>
        <w:sz w:val="16"/>
      </w:rPr>
      <w:tab/>
      <w:t xml:space="preserve">Revised: </w:t>
    </w:r>
    <w:r w:rsidR="002E7413">
      <w:rPr>
        <w:i w:val="0"/>
        <w:iCs/>
        <w:sz w:val="16"/>
      </w:rPr>
      <w:t>M</w:t>
    </w:r>
    <w:r w:rsidR="00D81D29">
      <w:rPr>
        <w:i w:val="0"/>
        <w:iCs/>
        <w:sz w:val="16"/>
      </w:rPr>
      <w:t>ay</w:t>
    </w:r>
    <w:r w:rsidR="002E7413">
      <w:rPr>
        <w:i w:val="0"/>
        <w:iCs/>
        <w:sz w:val="16"/>
      </w:rPr>
      <w:t xml:space="preserve"> </w:t>
    </w:r>
    <w:r w:rsidR="00D81D29">
      <w:rPr>
        <w:i w:val="0"/>
        <w:iCs/>
        <w:sz w:val="16"/>
      </w:rPr>
      <w:t>1</w:t>
    </w:r>
    <w:r w:rsidR="00681E96">
      <w:rPr>
        <w:i w:val="0"/>
        <w:iCs/>
        <w:sz w:val="16"/>
      </w:rPr>
      <w:t>, 202</w:t>
    </w:r>
    <w:r w:rsidR="002E7413">
      <w:rPr>
        <w:i w:val="0"/>
        <w:iCs/>
        <w:sz w:val="16"/>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477C" w14:textId="7E4377E9" w:rsidR="00B83728" w:rsidRDefault="00B83728">
    <w:pPr>
      <w:pStyle w:val="Footer"/>
      <w:framePr w:wrap="around" w:vAnchor="text" w:hAnchor="margin" w:xAlign="right" w:y="74"/>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8106FC">
      <w:rPr>
        <w:rStyle w:val="PageNumber"/>
        <w:i w:val="0"/>
        <w:iCs/>
        <w:noProof/>
        <w:sz w:val="16"/>
      </w:rPr>
      <w:t>12</w:t>
    </w:r>
    <w:r>
      <w:rPr>
        <w:rStyle w:val="PageNumber"/>
        <w:i w:val="0"/>
        <w:iCs/>
        <w:sz w:val="16"/>
      </w:rPr>
      <w:fldChar w:fldCharType="end"/>
    </w:r>
  </w:p>
  <w:p w14:paraId="3CE743BC" w14:textId="77510AF9" w:rsidR="00C84AF8" w:rsidRPr="00C84AF8" w:rsidRDefault="00B83728" w:rsidP="00C84AF8">
    <w:pPr>
      <w:pStyle w:val="Footer"/>
      <w:tabs>
        <w:tab w:val="center" w:pos="4680"/>
      </w:tabs>
      <w:rPr>
        <w:i w:val="0"/>
        <w:iCs/>
        <w:sz w:val="16"/>
      </w:rPr>
    </w:pPr>
    <w:r w:rsidRPr="00EE3633">
      <w:rPr>
        <w:i w:val="0"/>
        <w:sz w:val="16"/>
      </w:rPr>
      <w:t>Version 1</w:t>
    </w:r>
    <w:r>
      <w:rPr>
        <w:i w:val="0"/>
        <w:iCs/>
        <w:sz w:val="16"/>
      </w:rPr>
      <w:tab/>
    </w:r>
    <w:r w:rsidR="00BD67DE">
      <w:rPr>
        <w:i w:val="0"/>
        <w:iCs/>
        <w:sz w:val="16"/>
      </w:rPr>
      <w:t>ISO Public</w:t>
    </w:r>
  </w:p>
  <w:p w14:paraId="5A154BDB" w14:textId="77777777" w:rsidR="00B83728" w:rsidRDefault="00B83728">
    <w:pPr>
      <w:pStyle w:val="Footer"/>
      <w:tabs>
        <w:tab w:val="center" w:pos="4680"/>
      </w:tabs>
      <w:rPr>
        <w:i w:val="0"/>
        <w:iCs/>
        <w:sz w:val="16"/>
      </w:rPr>
    </w:pPr>
    <w:r>
      <w:rPr>
        <w:i w:val="0"/>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D01F" w14:textId="77777777" w:rsidR="00B83728" w:rsidRDefault="00B83728" w:rsidP="00E14135">
      <w:pPr>
        <w:spacing w:after="0" w:line="240" w:lineRule="auto"/>
      </w:pPr>
      <w:r>
        <w:separator/>
      </w:r>
    </w:p>
  </w:footnote>
  <w:footnote w:type="continuationSeparator" w:id="0">
    <w:p w14:paraId="20F7FE9C" w14:textId="77777777" w:rsidR="00B83728" w:rsidRDefault="00B83728" w:rsidP="00E14135">
      <w:pPr>
        <w:spacing w:after="0" w:line="240" w:lineRule="auto"/>
      </w:pPr>
      <w:r>
        <w:continuationSeparator/>
      </w:r>
    </w:p>
  </w:footnote>
  <w:footnote w:type="continuationNotice" w:id="1">
    <w:p w14:paraId="4FD7B927" w14:textId="77777777" w:rsidR="00B83728" w:rsidRDefault="00B83728">
      <w:pPr>
        <w:spacing w:after="0" w:line="240" w:lineRule="auto"/>
      </w:pPr>
    </w:p>
  </w:footnote>
  <w:footnote w:id="2">
    <w:p w14:paraId="4E0BE5D2" w14:textId="16BE2001" w:rsidR="00903C3A" w:rsidRDefault="00903C3A" w:rsidP="00903C3A">
      <w:pPr>
        <w:pStyle w:val="FootnoteText"/>
      </w:pPr>
      <w:r>
        <w:rPr>
          <w:rStyle w:val="FootnoteReference"/>
        </w:rPr>
        <w:footnoteRef/>
      </w:r>
      <w:r>
        <w:t xml:space="preserve"> In this example, assuming an EDAM launch of 2026, the 3-year historical average of </w:t>
      </w:r>
      <w:r w:rsidR="003F76EC">
        <w:t>short-term</w:t>
      </w:r>
      <w:r>
        <w:t xml:space="preserve"> transmission sales is derived based on the average of sales for years 2023, 2024, and 2025.</w:t>
      </w:r>
    </w:p>
  </w:footnote>
  <w:footnote w:id="3">
    <w:p w14:paraId="397C8BBF" w14:textId="77777777" w:rsidR="00903C3A" w:rsidRDefault="00903C3A" w:rsidP="00903C3A">
      <w:pPr>
        <w:pStyle w:val="FootnoteText"/>
      </w:pPr>
      <w:r>
        <w:rPr>
          <w:rStyle w:val="FootnoteReference"/>
        </w:rPr>
        <w:footnoteRef/>
      </w:r>
      <w:r>
        <w:t xml:space="preserve"> The CAISO BAA-equivalents to short-term sales are exports and wheeling-through transactions that would be charged the wheeling access rate.  For purposes of simplicity, this example does not distinguish between the CAISO BAA and its participating transmission owners under the CAISO tariff and an EDAM balancing area with transmission service providers operating under an OATT.</w:t>
      </w:r>
    </w:p>
  </w:footnote>
  <w:footnote w:id="4">
    <w:p w14:paraId="7A09EBC9" w14:textId="77777777" w:rsidR="00903C3A" w:rsidRDefault="00903C3A" w:rsidP="00903C3A">
      <w:pPr>
        <w:pStyle w:val="FootnoteText"/>
      </w:pPr>
      <w:r>
        <w:rPr>
          <w:rStyle w:val="FootnoteReference"/>
        </w:rPr>
        <w:footnoteRef/>
      </w:r>
      <w:r>
        <w:t xml:space="preserve"> For simplicity purposes, all twelve months of the year with excess wheeling-throughs have been summed to reflect the total annual cost rather than showing all twelve months individually as component 3 provides.  </w:t>
      </w:r>
    </w:p>
  </w:footnote>
  <w:footnote w:id="5">
    <w:p w14:paraId="69A77035" w14:textId="77777777" w:rsidR="00903C3A" w:rsidRDefault="00903C3A" w:rsidP="00903C3A">
      <w:pPr>
        <w:pStyle w:val="FootnoteText"/>
      </w:pPr>
      <w:r>
        <w:rPr>
          <w:rStyle w:val="FootnoteReference"/>
        </w:rPr>
        <w:footnoteRef/>
      </w:r>
      <w:r>
        <w:t xml:space="preserve"> Each BAA’s EDAM recoverable revenue is allocated based on the gross load ratio share to the other BAAs, excluding itself.  In the example, BAA 1’s EDAM recoverable revenue of $7,121,250 million is allocated to BAAs 2, 3, and 4 in proportion to their respective load ratio share (excluding the gross load of BAA 1).</w:t>
      </w:r>
    </w:p>
  </w:footnote>
  <w:footnote w:id="6">
    <w:p w14:paraId="57889A90" w14:textId="77777777" w:rsidR="00903C3A" w:rsidRDefault="00903C3A" w:rsidP="00903C3A">
      <w:pPr>
        <w:pStyle w:val="FootnoteText"/>
      </w:pPr>
      <w:r>
        <w:rPr>
          <w:rStyle w:val="FootnoteReference"/>
        </w:rPr>
        <w:footnoteRef/>
      </w:r>
      <w:r>
        <w:t xml:space="preserve"> To avoid differences due to granularity the rate has been rounded up.</w:t>
      </w:r>
    </w:p>
  </w:footnote>
  <w:footnote w:id="7">
    <w:p w14:paraId="6B227283" w14:textId="4CB5E6D5" w:rsidR="00AF18B0" w:rsidRDefault="00AF18B0">
      <w:pPr>
        <w:pStyle w:val="FootnoteText"/>
      </w:pPr>
      <w:r>
        <w:rPr>
          <w:rStyle w:val="FootnoteReference"/>
        </w:rPr>
        <w:footnoteRef/>
      </w:r>
      <w:r>
        <w:t xml:space="preserve"> At these EDAM external interties (non-CAISO), scheduling coordinators can submit self-schedules or may otherwise economically bid at the interties energy associated with delivery of off-system designated network resources under the EDAM entity OATT.  The EDAM entity retains the discretion to enable broader economic bidding at its interties in coordination with the market operator.  </w:t>
      </w:r>
    </w:p>
  </w:footnote>
  <w:footnote w:id="8">
    <w:p w14:paraId="4F7C7559" w14:textId="405C6775" w:rsidR="007F509F" w:rsidRDefault="007F509F">
      <w:pPr>
        <w:pStyle w:val="FootnoteText"/>
      </w:pPr>
      <w:r>
        <w:rPr>
          <w:rStyle w:val="FootnoteReference"/>
        </w:rPr>
        <w:footnoteRef/>
      </w:r>
      <w:r>
        <w:t xml:space="preserve"> The Washington Department of Ecology GHG program will be integrated in the market on January 1, 2027.</w:t>
      </w:r>
    </w:p>
  </w:footnote>
  <w:footnote w:id="9">
    <w:p w14:paraId="2D5DAED5" w14:textId="77777777" w:rsidR="00E4601F" w:rsidRDefault="00E4601F" w:rsidP="00E4601F">
      <w:pPr>
        <w:pStyle w:val="FootnoteText"/>
      </w:pPr>
      <w:r>
        <w:rPr>
          <w:rStyle w:val="FootnoteReference"/>
        </w:rPr>
        <w:footnoteRef/>
      </w:r>
      <w:r>
        <w:t xml:space="preserve"> </w:t>
      </w:r>
      <w:r>
        <w:tab/>
        <w:t>If the market experiences a disruption and “falls-back” to a prior interval to rely on that interval for market results when a resource had reeved an attribution to serve demand then a resource may receive an attribution to serve load in a GHG regulation area even if it had not submitted a GHG bid adder for the binding interval.</w:t>
      </w:r>
    </w:p>
  </w:footnote>
  <w:footnote w:id="10">
    <w:p w14:paraId="7E08DE98" w14:textId="77777777" w:rsidR="00E4601F" w:rsidRPr="006D3614" w:rsidRDefault="00E4601F" w:rsidP="00E4601F">
      <w:pPr>
        <w:pStyle w:val="ParaText"/>
        <w:rPr>
          <w:rFonts w:ascii="Arial" w:eastAsia="Calibri" w:hAnsi="Arial" w:cs="Arial"/>
          <w:kern w:val="2"/>
          <w:sz w:val="24"/>
        </w:rPr>
      </w:pPr>
      <w:r>
        <w:rPr>
          <w:rStyle w:val="FootnoteReference"/>
        </w:rPr>
        <w:footnoteRef/>
      </w:r>
      <w:r>
        <w:t xml:space="preserve"> </w:t>
      </w:r>
      <w:r>
        <w:tab/>
      </w:r>
      <w:r w:rsidRPr="00636D40">
        <w:rPr>
          <w:rFonts w:ascii="Arial" w:eastAsia="Calibri" w:hAnsi="Arial" w:cs="Arial"/>
          <w:sz w:val="16"/>
          <w:szCs w:val="16"/>
        </w:rPr>
        <w:t xml:space="preserve">The CAISO does not identify </w:t>
      </w:r>
      <w:r w:rsidRPr="005E7F90">
        <w:rPr>
          <w:rFonts w:ascii="Arial" w:eastAsia="Calibri" w:hAnsi="Arial" w:cs="Arial"/>
          <w:sz w:val="16"/>
          <w:szCs w:val="16"/>
        </w:rPr>
        <w:t>emissions associated with secondary dispatch; rather, states may account for them. For example, the California Air Resources Board (CARB) accounts for emissions through its outstanding emissions calculation and then retires freely allocated allowances that CARB would otherwise allocate to electric distribution utilities within California. The outstanding emissions calculation is subject to CARB’s jurisdiction</w:t>
      </w:r>
      <w:r w:rsidRPr="00636D40">
        <w:rPr>
          <w:rFonts w:ascii="Arial" w:eastAsia="Calibri" w:hAnsi="Arial" w:cs="Arial"/>
          <w:sz w:val="16"/>
          <w:szCs w:val="16"/>
        </w:rPr>
        <w:t>.</w:t>
      </w:r>
    </w:p>
  </w:footnote>
  <w:footnote w:id="11">
    <w:p w14:paraId="3550566B" w14:textId="77777777" w:rsidR="00E4601F" w:rsidRDefault="00E4601F" w:rsidP="00E4601F">
      <w:pPr>
        <w:pStyle w:val="FootnoteText"/>
      </w:pPr>
      <w:r>
        <w:rPr>
          <w:rStyle w:val="FootnoteReference"/>
        </w:rPr>
        <w:footnoteRef/>
      </w:r>
      <w:r>
        <w:t xml:space="preserve"> Note that resources located within a GHG regulation area cannot receive a GHG award to serve that same GHG regulation area.</w:t>
      </w:r>
    </w:p>
  </w:footnote>
  <w:footnote w:id="12">
    <w:p w14:paraId="6610219B" w14:textId="77777777" w:rsidR="00E4601F" w:rsidRDefault="00E4601F" w:rsidP="00E4601F">
      <w:pPr>
        <w:pStyle w:val="FootnoteText"/>
      </w:pPr>
      <w:r>
        <w:rPr>
          <w:rStyle w:val="FootnoteReference"/>
        </w:rPr>
        <w:footnoteRef/>
      </w:r>
      <w:r>
        <w:t xml:space="preserve"> States with GHG pricing policies have a mechanism to determine the cost of GHG compliance in their jurisdictions. The MCG is separate and distinct from state determined cost of GHG compliance. </w:t>
      </w:r>
    </w:p>
  </w:footnote>
  <w:footnote w:id="13">
    <w:p w14:paraId="13E6363D" w14:textId="77777777" w:rsidR="00E4601F" w:rsidRDefault="00E4601F" w:rsidP="00E4601F">
      <w:pPr>
        <w:pStyle w:val="FootnoteText"/>
      </w:pPr>
      <w:r>
        <w:rPr>
          <w:rStyle w:val="FootnoteReference"/>
        </w:rPr>
        <w:footnoteRef/>
      </w:r>
      <w:r>
        <w:t xml:space="preserve"> Note: the CAISO presents a simplified example here to demonstrate the basic flow of payments related to the GHG attribution process. Actual market settlements are affected by a variety of other factors such as bid cost recovery. These other factors can be found in the BPM for Settlements and Billings and the associated configuration guides.</w:t>
      </w:r>
    </w:p>
  </w:footnote>
  <w:footnote w:id="14">
    <w:p w14:paraId="01BB9077" w14:textId="77777777" w:rsidR="00E4601F" w:rsidRDefault="00E4601F" w:rsidP="00E4601F">
      <w:pPr>
        <w:pStyle w:val="FootnoteText"/>
      </w:pPr>
      <w:r>
        <w:rPr>
          <w:rStyle w:val="FootnoteReference"/>
        </w:rPr>
        <w:footnoteRef/>
      </w:r>
      <w:r>
        <w:t xml:space="preserve"> Note: </w:t>
      </w:r>
      <w:proofErr w:type="gramStart"/>
      <w:r>
        <w:t>both of these</w:t>
      </w:r>
      <w:proofErr w:type="gramEnd"/>
      <w:r>
        <w:t xml:space="preserve"> examples assume no BAAs that overlap a GHG area have failed the RSE and no resources within the non-GHG area BAA have capacity committed to serve load in a GHG area.</w:t>
      </w:r>
    </w:p>
  </w:footnote>
  <w:footnote w:id="15">
    <w:p w14:paraId="4E074CE5" w14:textId="77777777" w:rsidR="00C5363F" w:rsidRDefault="00C5363F" w:rsidP="00C5363F">
      <w:pPr>
        <w:pStyle w:val="FootnoteText"/>
      </w:pPr>
      <w:r>
        <w:rPr>
          <w:rStyle w:val="FootnoteReference"/>
        </w:rPr>
        <w:footnoteRef/>
      </w:r>
      <w:r>
        <w:t xml:space="preserve"> Any available RDRR capacity in the CISO BAA that is offered into the day-ahead market by 9 a.m. would already be reflected as RSE-eligible supply.  </w:t>
      </w:r>
    </w:p>
  </w:footnote>
  <w:footnote w:id="16">
    <w:p w14:paraId="091DBFD7" w14:textId="77777777" w:rsidR="00C5363F" w:rsidRDefault="00C5363F" w:rsidP="00C5363F">
      <w:pPr>
        <w:pStyle w:val="FootnoteText"/>
      </w:pPr>
      <w:r>
        <w:rPr>
          <w:rStyle w:val="FootnoteReference"/>
        </w:rPr>
        <w:footnoteRef/>
      </w:r>
      <w:r>
        <w:t xml:space="preserve"> T</w:t>
      </w:r>
      <w:r w:rsidRPr="00244E86">
        <w:t>he RDRR trigger is determined by real-time reliability conditions (</w:t>
      </w:r>
      <w:r>
        <w:t>e.g., EE</w:t>
      </w:r>
      <w:r w:rsidRPr="00244E86">
        <w:t xml:space="preserve">A </w:t>
      </w:r>
      <w:r>
        <w:t>Watch</w:t>
      </w:r>
      <w:r w:rsidRPr="00244E86">
        <w:t xml:space="preserve">).  Forecast conditions, </w:t>
      </w:r>
      <w:r>
        <w:t xml:space="preserve">including but not limited to </w:t>
      </w:r>
      <w:r w:rsidRPr="00244E86">
        <w:t>resource availability, load</w:t>
      </w:r>
      <w:r>
        <w:t xml:space="preserve"> changes, changes in renewable generation or intertie supply offers, or any other operating condition may </w:t>
      </w:r>
      <w:r w:rsidRPr="00244E86">
        <w:t>prevent real-time EEA Watch conditions and therefore the need to dispatch RDRR resources.</w:t>
      </w:r>
    </w:p>
  </w:footnote>
  <w:footnote w:id="17">
    <w:p w14:paraId="55555BFE" w14:textId="77777777" w:rsidR="00C5363F" w:rsidRDefault="00C5363F" w:rsidP="00C5363F">
      <w:pPr>
        <w:pStyle w:val="FootnoteText"/>
      </w:pPr>
      <w:r>
        <w:rPr>
          <w:rStyle w:val="FootnoteReference"/>
        </w:rPr>
        <w:footnoteRef/>
      </w:r>
      <w:r>
        <w:t xml:space="preserve"> </w:t>
      </w:r>
      <w:r w:rsidRPr="00A20CEA">
        <w:rPr>
          <w:szCs w:val="18"/>
        </w:rPr>
        <w:t xml:space="preserve">The Market Operator will provide this input service to </w:t>
      </w:r>
      <w:r>
        <w:rPr>
          <w:szCs w:val="18"/>
        </w:rPr>
        <w:t xml:space="preserve">the CISO BA or </w:t>
      </w:r>
      <w:r w:rsidRPr="00A20CEA">
        <w:rPr>
          <w:szCs w:val="18"/>
        </w:rPr>
        <w:t xml:space="preserve">any </w:t>
      </w:r>
      <w:r>
        <w:rPr>
          <w:szCs w:val="18"/>
        </w:rPr>
        <w:t xml:space="preserve">EDAM </w:t>
      </w:r>
      <w:r w:rsidRPr="00A20CEA">
        <w:rPr>
          <w:szCs w:val="18"/>
        </w:rPr>
        <w:t>BA with RDRR or RDRR-equivalent market-based DR.</w:t>
      </w:r>
    </w:p>
  </w:footnote>
  <w:footnote w:id="18">
    <w:p w14:paraId="46B704A7" w14:textId="77777777" w:rsidR="00C5363F" w:rsidRDefault="00C5363F" w:rsidP="00C5363F">
      <w:pPr>
        <w:pStyle w:val="FootnoteText"/>
      </w:pPr>
      <w:r>
        <w:rPr>
          <w:rStyle w:val="FootnoteReference"/>
        </w:rPr>
        <w:footnoteRef/>
      </w:r>
      <w:r>
        <w:t xml:space="preserve"> </w:t>
      </w:r>
      <w:r w:rsidRPr="009D76B8">
        <w:rPr>
          <w:rFonts w:eastAsia="Times New Roman" w:cstheme="minorHAnsi"/>
        </w:rPr>
        <w:t>RUC Net Short tool nets any other desired RUC adjustments including IR, LMDR, or adders</w:t>
      </w:r>
    </w:p>
  </w:footnote>
  <w:footnote w:id="19">
    <w:p w14:paraId="763A4B4A" w14:textId="77777777" w:rsidR="00C5363F" w:rsidRDefault="00C5363F" w:rsidP="00C5363F">
      <w:pPr>
        <w:pStyle w:val="FootnoteText"/>
      </w:pPr>
      <w:r>
        <w:rPr>
          <w:rStyle w:val="FootnoteReference"/>
        </w:rPr>
        <w:footnoteRef/>
      </w:r>
      <w:r>
        <w:t xml:space="preserve"> EDAM BAAs must also create a matching forward-dated Manual Dispatch in the WEIM BAAOP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5DB3" w14:textId="77777777" w:rsidR="00B83728" w:rsidRDefault="00B83728">
    <w:pPr>
      <w:pStyle w:val="Header"/>
      <w:rPr>
        <w:b w:val="0"/>
        <w:bCs/>
      </w:rPr>
    </w:pPr>
    <w:r>
      <w:rPr>
        <w:b w:val="0"/>
        <w:noProof/>
      </w:rPr>
      <w:drawing>
        <wp:inline distT="0" distB="0" distL="0" distR="0" wp14:anchorId="25E82A18" wp14:editId="56A3B47B">
          <wp:extent cx="2056130" cy="386080"/>
          <wp:effectExtent l="0" t="0" r="0" b="0"/>
          <wp:docPr id="1" name="Picture 1"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30" cy="3860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9929" w14:textId="77777777" w:rsidR="00B83728" w:rsidRPr="00E14135" w:rsidRDefault="00B83728" w:rsidP="00E14135">
    <w:pPr>
      <w:pStyle w:val="Header"/>
    </w:pPr>
    <w:r>
      <w:rPr>
        <w:b w:val="0"/>
        <w:noProof/>
      </w:rPr>
      <w:drawing>
        <wp:inline distT="0" distB="0" distL="0" distR="0" wp14:anchorId="0900A41E" wp14:editId="78A4C074">
          <wp:extent cx="2056130" cy="386080"/>
          <wp:effectExtent l="0" t="0" r="0" b="0"/>
          <wp:docPr id="11" name="Picture 11"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30" cy="3860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56D9" w14:textId="75688F7C" w:rsidR="00B83728" w:rsidRDefault="00B83728" w:rsidP="00E14135">
    <w:pPr>
      <w:pStyle w:val="Header"/>
      <w:pBdr>
        <w:bottom w:val="single" w:sz="12" w:space="2" w:color="auto"/>
      </w:pBdr>
      <w:tabs>
        <w:tab w:val="clear" w:pos="4320"/>
        <w:tab w:val="clear" w:pos="8640"/>
        <w:tab w:val="right" w:pos="9360"/>
      </w:tabs>
      <w:spacing w:after="0"/>
      <w:rPr>
        <w:b w:val="0"/>
        <w:bCs/>
        <w:sz w:val="16"/>
      </w:rPr>
    </w:pPr>
    <w:r>
      <w:rPr>
        <w:b w:val="0"/>
        <w:bCs/>
        <w:sz w:val="16"/>
      </w:rPr>
      <w:t xml:space="preserve">ISO Business Practice Manual                                                                                                               </w:t>
    </w:r>
    <w:r w:rsidRPr="00FF2B7C">
      <w:rPr>
        <w:b w:val="0"/>
        <w:bCs/>
        <w:sz w:val="16"/>
      </w:rPr>
      <w:t xml:space="preserve">BPM for </w:t>
    </w:r>
    <w:r>
      <w:rPr>
        <w:b w:val="0"/>
        <w:bCs/>
        <w:sz w:val="16"/>
      </w:rPr>
      <w:t xml:space="preserve">Extended </w:t>
    </w:r>
    <w:r w:rsidR="00750440">
      <w:rPr>
        <w:b w:val="0"/>
        <w:bCs/>
        <w:sz w:val="16"/>
      </w:rPr>
      <w:t>Day-Ahead</w:t>
    </w:r>
    <w:r w:rsidR="00105698">
      <w:rPr>
        <w:b w:val="0"/>
        <w:bCs/>
        <w:sz w:val="16"/>
      </w:rPr>
      <w:t xml:space="preserve"> </w:t>
    </w:r>
    <w:r>
      <w:rPr>
        <w:b w:val="0"/>
        <w:bCs/>
        <w:sz w:val="16"/>
      </w:rPr>
      <w:t>Market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E29"/>
    <w:multiLevelType w:val="hybridMultilevel"/>
    <w:tmpl w:val="96FA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A15F4"/>
    <w:multiLevelType w:val="hybridMultilevel"/>
    <w:tmpl w:val="E3C83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17097"/>
    <w:multiLevelType w:val="hybridMultilevel"/>
    <w:tmpl w:val="54B66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30D4E"/>
    <w:multiLevelType w:val="hybridMultilevel"/>
    <w:tmpl w:val="1232486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3E70D3"/>
    <w:multiLevelType w:val="hybridMultilevel"/>
    <w:tmpl w:val="5F8A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13FD7"/>
    <w:multiLevelType w:val="hybridMultilevel"/>
    <w:tmpl w:val="B7A831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26F0F"/>
    <w:multiLevelType w:val="hybridMultilevel"/>
    <w:tmpl w:val="E7729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775EBB"/>
    <w:multiLevelType w:val="hybridMultilevel"/>
    <w:tmpl w:val="684A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A25A33"/>
    <w:multiLevelType w:val="hybridMultilevel"/>
    <w:tmpl w:val="374C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F62CFE"/>
    <w:multiLevelType w:val="hybridMultilevel"/>
    <w:tmpl w:val="84F2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862126"/>
    <w:multiLevelType w:val="hybridMultilevel"/>
    <w:tmpl w:val="AA24BB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FA5E7A"/>
    <w:multiLevelType w:val="hybridMultilevel"/>
    <w:tmpl w:val="619AB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936BB8"/>
    <w:multiLevelType w:val="hybridMultilevel"/>
    <w:tmpl w:val="98766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B9919B1"/>
    <w:multiLevelType w:val="hybridMultilevel"/>
    <w:tmpl w:val="61486556"/>
    <w:lvl w:ilvl="0" w:tplc="396C6CC6">
      <w:start w:val="1"/>
      <w:numFmt w:val="decimal"/>
      <w:lvlText w:val="%1."/>
      <w:lvlJc w:val="left"/>
      <w:pPr>
        <w:ind w:left="1800" w:hanging="360"/>
      </w:pPr>
      <w:rPr>
        <w:rFonts w:asciiTheme="minorHAnsi" w:eastAsiaTheme="minorEastAsia" w:hAnsi="Arial" w:cstheme="minorBidi"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D50C16"/>
    <w:multiLevelType w:val="hybridMultilevel"/>
    <w:tmpl w:val="290E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D56178"/>
    <w:multiLevelType w:val="hybridMultilevel"/>
    <w:tmpl w:val="E8D6F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160643"/>
    <w:multiLevelType w:val="hybridMultilevel"/>
    <w:tmpl w:val="B066E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17931"/>
    <w:multiLevelType w:val="hybridMultilevel"/>
    <w:tmpl w:val="6058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1A397B"/>
    <w:multiLevelType w:val="hybridMultilevel"/>
    <w:tmpl w:val="3828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407AAC"/>
    <w:multiLevelType w:val="multilevel"/>
    <w:tmpl w:val="D9309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6E5375"/>
    <w:multiLevelType w:val="hybridMultilevel"/>
    <w:tmpl w:val="F1F4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993680"/>
    <w:multiLevelType w:val="hybridMultilevel"/>
    <w:tmpl w:val="0682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B554C5"/>
    <w:multiLevelType w:val="multilevel"/>
    <w:tmpl w:val="B55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F13D81"/>
    <w:multiLevelType w:val="hybridMultilevel"/>
    <w:tmpl w:val="68AA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F95F8E"/>
    <w:multiLevelType w:val="singleLevel"/>
    <w:tmpl w:val="2C180D4A"/>
    <w:lvl w:ilvl="0">
      <w:start w:val="1"/>
      <w:numFmt w:val="bullet"/>
      <w:pStyle w:val="Bullet1HRt"/>
      <w:lvlText w:val=""/>
      <w:lvlJc w:val="left"/>
      <w:pPr>
        <w:tabs>
          <w:tab w:val="num" w:pos="720"/>
        </w:tabs>
        <w:ind w:left="720" w:hanging="360"/>
      </w:pPr>
      <w:rPr>
        <w:rFonts w:ascii="Wingdings" w:hAnsi="Wingdings" w:hint="default"/>
      </w:rPr>
    </w:lvl>
  </w:abstractNum>
  <w:abstractNum w:abstractNumId="25" w15:restartNumberingAfterBreak="0">
    <w:nsid w:val="14DA1B66"/>
    <w:multiLevelType w:val="multilevel"/>
    <w:tmpl w:val="87902D0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14EF5505"/>
    <w:multiLevelType w:val="hybridMultilevel"/>
    <w:tmpl w:val="DBBAF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627D33"/>
    <w:multiLevelType w:val="hybridMultilevel"/>
    <w:tmpl w:val="D3F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18476B"/>
    <w:multiLevelType w:val="multilevel"/>
    <w:tmpl w:val="3B221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A97FED"/>
    <w:multiLevelType w:val="hybridMultilevel"/>
    <w:tmpl w:val="6FF22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6E925EB"/>
    <w:multiLevelType w:val="hybridMultilevel"/>
    <w:tmpl w:val="E6F29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1C41E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15:restartNumberingAfterBreak="0">
    <w:nsid w:val="177A5425"/>
    <w:multiLevelType w:val="hybridMultilevel"/>
    <w:tmpl w:val="91980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7C51590"/>
    <w:multiLevelType w:val="hybridMultilevel"/>
    <w:tmpl w:val="B9604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7FB34EB"/>
    <w:multiLevelType w:val="hybridMultilevel"/>
    <w:tmpl w:val="BD46AC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D37AE8"/>
    <w:multiLevelType w:val="hybridMultilevel"/>
    <w:tmpl w:val="BE543A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9A87FD0"/>
    <w:multiLevelType w:val="hybridMultilevel"/>
    <w:tmpl w:val="9348A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2E10BD"/>
    <w:multiLevelType w:val="hybridMultilevel"/>
    <w:tmpl w:val="A35C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1B7133"/>
    <w:multiLevelType w:val="hybridMultilevel"/>
    <w:tmpl w:val="8A3A6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C615BDF"/>
    <w:multiLevelType w:val="hybridMultilevel"/>
    <w:tmpl w:val="132E1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937D18"/>
    <w:multiLevelType w:val="hybridMultilevel"/>
    <w:tmpl w:val="AC4C6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F755AC"/>
    <w:multiLevelType w:val="multilevel"/>
    <w:tmpl w:val="F3E684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583B1E"/>
    <w:multiLevelType w:val="hybridMultilevel"/>
    <w:tmpl w:val="7198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EE1620B"/>
    <w:multiLevelType w:val="hybridMultilevel"/>
    <w:tmpl w:val="F1ACE2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CE3C5F"/>
    <w:multiLevelType w:val="hybridMultilevel"/>
    <w:tmpl w:val="642C5CA2"/>
    <w:lvl w:ilvl="0" w:tplc="5DA021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2ED0657"/>
    <w:multiLevelType w:val="hybridMultilevel"/>
    <w:tmpl w:val="C9CE5B9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D93A57"/>
    <w:multiLevelType w:val="hybridMultilevel"/>
    <w:tmpl w:val="B3765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9F56B0"/>
    <w:multiLevelType w:val="hybridMultilevel"/>
    <w:tmpl w:val="BCBAB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7437089"/>
    <w:multiLevelType w:val="multilevel"/>
    <w:tmpl w:val="CA54A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29CF1D7C"/>
    <w:multiLevelType w:val="hybridMultilevel"/>
    <w:tmpl w:val="CE8E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021961"/>
    <w:multiLevelType w:val="hybridMultilevel"/>
    <w:tmpl w:val="8A3CA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3B3A7E"/>
    <w:multiLevelType w:val="hybridMultilevel"/>
    <w:tmpl w:val="E69230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B4D6FFC"/>
    <w:multiLevelType w:val="hybridMultilevel"/>
    <w:tmpl w:val="872E5B9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C01E51"/>
    <w:multiLevelType w:val="hybridMultilevel"/>
    <w:tmpl w:val="9B98C0FA"/>
    <w:lvl w:ilvl="0" w:tplc="E2AEE204">
      <w:start w:val="1"/>
      <w:numFmt w:val="bullet"/>
      <w:lvlText w:val="–"/>
      <w:lvlJc w:val="left"/>
      <w:pPr>
        <w:tabs>
          <w:tab w:val="num" w:pos="720"/>
        </w:tabs>
        <w:ind w:left="720" w:hanging="360"/>
      </w:pPr>
      <w:rPr>
        <w:rFonts w:ascii="Arial" w:hAnsi="Arial" w:hint="default"/>
      </w:rPr>
    </w:lvl>
    <w:lvl w:ilvl="1" w:tplc="6CC05BE4">
      <w:start w:val="1"/>
      <w:numFmt w:val="bullet"/>
      <w:lvlText w:val="–"/>
      <w:lvlJc w:val="left"/>
      <w:pPr>
        <w:tabs>
          <w:tab w:val="num" w:pos="1440"/>
        </w:tabs>
        <w:ind w:left="1440" w:hanging="360"/>
      </w:pPr>
      <w:rPr>
        <w:rFonts w:ascii="Arial" w:hAnsi="Arial" w:hint="default"/>
      </w:rPr>
    </w:lvl>
    <w:lvl w:ilvl="2" w:tplc="A2CAC4E4">
      <w:numFmt w:val="bullet"/>
      <w:lvlText w:val="•"/>
      <w:lvlJc w:val="left"/>
      <w:pPr>
        <w:tabs>
          <w:tab w:val="num" w:pos="2160"/>
        </w:tabs>
        <w:ind w:left="2160" w:hanging="360"/>
      </w:pPr>
      <w:rPr>
        <w:rFonts w:ascii="Arial" w:hAnsi="Arial" w:hint="default"/>
      </w:rPr>
    </w:lvl>
    <w:lvl w:ilvl="3" w:tplc="082CBC00" w:tentative="1">
      <w:start w:val="1"/>
      <w:numFmt w:val="bullet"/>
      <w:lvlText w:val="–"/>
      <w:lvlJc w:val="left"/>
      <w:pPr>
        <w:tabs>
          <w:tab w:val="num" w:pos="2880"/>
        </w:tabs>
        <w:ind w:left="2880" w:hanging="360"/>
      </w:pPr>
      <w:rPr>
        <w:rFonts w:ascii="Arial" w:hAnsi="Arial" w:hint="default"/>
      </w:rPr>
    </w:lvl>
    <w:lvl w:ilvl="4" w:tplc="045A5528" w:tentative="1">
      <w:start w:val="1"/>
      <w:numFmt w:val="bullet"/>
      <w:lvlText w:val="–"/>
      <w:lvlJc w:val="left"/>
      <w:pPr>
        <w:tabs>
          <w:tab w:val="num" w:pos="3600"/>
        </w:tabs>
        <w:ind w:left="3600" w:hanging="360"/>
      </w:pPr>
      <w:rPr>
        <w:rFonts w:ascii="Arial" w:hAnsi="Arial" w:hint="default"/>
      </w:rPr>
    </w:lvl>
    <w:lvl w:ilvl="5" w:tplc="5AC00DE2" w:tentative="1">
      <w:start w:val="1"/>
      <w:numFmt w:val="bullet"/>
      <w:lvlText w:val="–"/>
      <w:lvlJc w:val="left"/>
      <w:pPr>
        <w:tabs>
          <w:tab w:val="num" w:pos="4320"/>
        </w:tabs>
        <w:ind w:left="4320" w:hanging="360"/>
      </w:pPr>
      <w:rPr>
        <w:rFonts w:ascii="Arial" w:hAnsi="Arial" w:hint="default"/>
      </w:rPr>
    </w:lvl>
    <w:lvl w:ilvl="6" w:tplc="F662AD56" w:tentative="1">
      <w:start w:val="1"/>
      <w:numFmt w:val="bullet"/>
      <w:lvlText w:val="–"/>
      <w:lvlJc w:val="left"/>
      <w:pPr>
        <w:tabs>
          <w:tab w:val="num" w:pos="5040"/>
        </w:tabs>
        <w:ind w:left="5040" w:hanging="360"/>
      </w:pPr>
      <w:rPr>
        <w:rFonts w:ascii="Arial" w:hAnsi="Arial" w:hint="default"/>
      </w:rPr>
    </w:lvl>
    <w:lvl w:ilvl="7" w:tplc="53682294" w:tentative="1">
      <w:start w:val="1"/>
      <w:numFmt w:val="bullet"/>
      <w:lvlText w:val="–"/>
      <w:lvlJc w:val="left"/>
      <w:pPr>
        <w:tabs>
          <w:tab w:val="num" w:pos="5760"/>
        </w:tabs>
        <w:ind w:left="5760" w:hanging="360"/>
      </w:pPr>
      <w:rPr>
        <w:rFonts w:ascii="Arial" w:hAnsi="Arial" w:hint="default"/>
      </w:rPr>
    </w:lvl>
    <w:lvl w:ilvl="8" w:tplc="D2E4FC82"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0A61353"/>
    <w:multiLevelType w:val="multilevel"/>
    <w:tmpl w:val="F7AA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0BE1E4C"/>
    <w:multiLevelType w:val="hybridMultilevel"/>
    <w:tmpl w:val="0A86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066796"/>
    <w:multiLevelType w:val="multilevel"/>
    <w:tmpl w:val="D4A2FC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58" w15:restartNumberingAfterBreak="0">
    <w:nsid w:val="32FF2C6F"/>
    <w:multiLevelType w:val="multilevel"/>
    <w:tmpl w:val="99F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3A27E93"/>
    <w:multiLevelType w:val="hybridMultilevel"/>
    <w:tmpl w:val="53487C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3DA5E3E"/>
    <w:multiLevelType w:val="hybridMultilevel"/>
    <w:tmpl w:val="5EF8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8960FF7"/>
    <w:multiLevelType w:val="hybridMultilevel"/>
    <w:tmpl w:val="3C561B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20439C"/>
    <w:multiLevelType w:val="hybridMultilevel"/>
    <w:tmpl w:val="EA84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95E0302"/>
    <w:multiLevelType w:val="hybridMultilevel"/>
    <w:tmpl w:val="0126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A2130E3"/>
    <w:multiLevelType w:val="hybridMultilevel"/>
    <w:tmpl w:val="45F64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CA016D0"/>
    <w:multiLevelType w:val="hybridMultilevel"/>
    <w:tmpl w:val="F00221B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E471F0"/>
    <w:multiLevelType w:val="hybridMultilevel"/>
    <w:tmpl w:val="535E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F421606"/>
    <w:multiLevelType w:val="multilevel"/>
    <w:tmpl w:val="0BCABB5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0B94A39"/>
    <w:multiLevelType w:val="hybridMultilevel"/>
    <w:tmpl w:val="8512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1157306"/>
    <w:multiLevelType w:val="multilevel"/>
    <w:tmpl w:val="00B468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D13B21"/>
    <w:multiLevelType w:val="hybridMultilevel"/>
    <w:tmpl w:val="2D8E03A0"/>
    <w:lvl w:ilvl="0" w:tplc="7A2A0686">
      <w:start w:val="1"/>
      <w:numFmt w:val="bullet"/>
      <w:lvlText w:val="•"/>
      <w:lvlJc w:val="left"/>
      <w:pPr>
        <w:tabs>
          <w:tab w:val="num" w:pos="720"/>
        </w:tabs>
        <w:ind w:left="720" w:hanging="360"/>
      </w:pPr>
      <w:rPr>
        <w:rFonts w:ascii="Arial" w:hAnsi="Arial" w:hint="default"/>
      </w:rPr>
    </w:lvl>
    <w:lvl w:ilvl="1" w:tplc="89D88B78">
      <w:numFmt w:val="bullet"/>
      <w:lvlText w:val="–"/>
      <w:lvlJc w:val="left"/>
      <w:pPr>
        <w:tabs>
          <w:tab w:val="num" w:pos="1440"/>
        </w:tabs>
        <w:ind w:left="1440" w:hanging="360"/>
      </w:pPr>
      <w:rPr>
        <w:rFonts w:ascii="Arial" w:hAnsi="Arial" w:hint="default"/>
      </w:rPr>
    </w:lvl>
    <w:lvl w:ilvl="2" w:tplc="26F4D6BC">
      <w:numFmt w:val="bullet"/>
      <w:lvlText w:val="•"/>
      <w:lvlJc w:val="left"/>
      <w:pPr>
        <w:tabs>
          <w:tab w:val="num" w:pos="2160"/>
        </w:tabs>
        <w:ind w:left="2160" w:hanging="360"/>
      </w:pPr>
      <w:rPr>
        <w:rFonts w:ascii="Arial" w:hAnsi="Arial" w:hint="default"/>
      </w:rPr>
    </w:lvl>
    <w:lvl w:ilvl="3" w:tplc="A5AADAF8" w:tentative="1">
      <w:start w:val="1"/>
      <w:numFmt w:val="bullet"/>
      <w:lvlText w:val="•"/>
      <w:lvlJc w:val="left"/>
      <w:pPr>
        <w:tabs>
          <w:tab w:val="num" w:pos="2880"/>
        </w:tabs>
        <w:ind w:left="2880" w:hanging="360"/>
      </w:pPr>
      <w:rPr>
        <w:rFonts w:ascii="Arial" w:hAnsi="Arial" w:hint="default"/>
      </w:rPr>
    </w:lvl>
    <w:lvl w:ilvl="4" w:tplc="E10AC9E0" w:tentative="1">
      <w:start w:val="1"/>
      <w:numFmt w:val="bullet"/>
      <w:lvlText w:val="•"/>
      <w:lvlJc w:val="left"/>
      <w:pPr>
        <w:tabs>
          <w:tab w:val="num" w:pos="3600"/>
        </w:tabs>
        <w:ind w:left="3600" w:hanging="360"/>
      </w:pPr>
      <w:rPr>
        <w:rFonts w:ascii="Arial" w:hAnsi="Arial" w:hint="default"/>
      </w:rPr>
    </w:lvl>
    <w:lvl w:ilvl="5" w:tplc="553E9DD2" w:tentative="1">
      <w:start w:val="1"/>
      <w:numFmt w:val="bullet"/>
      <w:lvlText w:val="•"/>
      <w:lvlJc w:val="left"/>
      <w:pPr>
        <w:tabs>
          <w:tab w:val="num" w:pos="4320"/>
        </w:tabs>
        <w:ind w:left="4320" w:hanging="360"/>
      </w:pPr>
      <w:rPr>
        <w:rFonts w:ascii="Arial" w:hAnsi="Arial" w:hint="default"/>
      </w:rPr>
    </w:lvl>
    <w:lvl w:ilvl="6" w:tplc="294A4F44" w:tentative="1">
      <w:start w:val="1"/>
      <w:numFmt w:val="bullet"/>
      <w:lvlText w:val="•"/>
      <w:lvlJc w:val="left"/>
      <w:pPr>
        <w:tabs>
          <w:tab w:val="num" w:pos="5040"/>
        </w:tabs>
        <w:ind w:left="5040" w:hanging="360"/>
      </w:pPr>
      <w:rPr>
        <w:rFonts w:ascii="Arial" w:hAnsi="Arial" w:hint="default"/>
      </w:rPr>
    </w:lvl>
    <w:lvl w:ilvl="7" w:tplc="60423D02" w:tentative="1">
      <w:start w:val="1"/>
      <w:numFmt w:val="bullet"/>
      <w:lvlText w:val="•"/>
      <w:lvlJc w:val="left"/>
      <w:pPr>
        <w:tabs>
          <w:tab w:val="num" w:pos="5760"/>
        </w:tabs>
        <w:ind w:left="5760" w:hanging="360"/>
      </w:pPr>
      <w:rPr>
        <w:rFonts w:ascii="Arial" w:hAnsi="Arial" w:hint="default"/>
      </w:rPr>
    </w:lvl>
    <w:lvl w:ilvl="8" w:tplc="FEC8FC86"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41D67F65"/>
    <w:multiLevelType w:val="hybridMultilevel"/>
    <w:tmpl w:val="38DA81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422B2878"/>
    <w:multiLevelType w:val="hybridMultilevel"/>
    <w:tmpl w:val="7E089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3846750"/>
    <w:multiLevelType w:val="hybridMultilevel"/>
    <w:tmpl w:val="4FD6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40406A1"/>
    <w:multiLevelType w:val="hybridMultilevel"/>
    <w:tmpl w:val="012C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47E4A22"/>
    <w:multiLevelType w:val="multilevel"/>
    <w:tmpl w:val="25E29EFE"/>
    <w:lvl w:ilvl="0">
      <w:start w:val="1"/>
      <w:numFmt w:val="decimal"/>
      <w:pStyle w:val="Heading1"/>
      <w:lvlText w:val="%1."/>
      <w:lvlJc w:val="left"/>
      <w:pPr>
        <w:tabs>
          <w:tab w:val="num" w:pos="1080"/>
        </w:tabs>
        <w:ind w:left="1080" w:hanging="1080"/>
      </w:pPr>
      <w:rPr>
        <w:rFonts w:ascii="Arial" w:hAnsi="Arial" w:hint="default"/>
        <w:b/>
        <w:i w:val="0"/>
        <w:sz w:val="34"/>
      </w:rPr>
    </w:lvl>
    <w:lvl w:ilvl="1">
      <w:start w:val="1"/>
      <w:numFmt w:val="decimal"/>
      <w:pStyle w:val="Heading2"/>
      <w:lvlText w:val="%1.%2"/>
      <w:lvlJc w:val="left"/>
      <w:pPr>
        <w:tabs>
          <w:tab w:val="num" w:pos="1080"/>
        </w:tabs>
        <w:ind w:left="1080" w:hanging="1080"/>
      </w:pPr>
      <w:rPr>
        <w:rFonts w:hint="default"/>
        <w:sz w:val="30"/>
        <w:szCs w:val="30"/>
      </w:rPr>
    </w:lvl>
    <w:lvl w:ilvl="2">
      <w:start w:val="1"/>
      <w:numFmt w:val="decimal"/>
      <w:pStyle w:val="Heading3"/>
      <w:lvlText w:val="%1.%2.%3"/>
      <w:lvlJc w:val="left"/>
      <w:pPr>
        <w:tabs>
          <w:tab w:val="num" w:pos="2340"/>
        </w:tabs>
        <w:ind w:left="2340" w:hanging="1080"/>
      </w:pPr>
      <w:rPr>
        <w:rFonts w:ascii="Arial" w:hAnsi="Arial" w:hint="default"/>
        <w:b/>
        <w:i w:val="0"/>
        <w:sz w:val="26"/>
      </w:rPr>
    </w:lvl>
    <w:lvl w:ilvl="3">
      <w:start w:val="1"/>
      <w:numFmt w:val="decimal"/>
      <w:pStyle w:val="Heading4"/>
      <w:lvlText w:val="%1.%2.%3.%4"/>
      <w:lvlJc w:val="left"/>
      <w:pPr>
        <w:tabs>
          <w:tab w:val="num" w:pos="1080"/>
        </w:tabs>
        <w:ind w:left="1080" w:hanging="1080"/>
      </w:pPr>
      <w:rPr>
        <w:rFonts w:ascii="Arial" w:hAnsi="Arial" w:hint="default"/>
        <w:b/>
        <w:i w:val="0"/>
        <w:sz w:val="22"/>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461C57CA"/>
    <w:multiLevelType w:val="hybridMultilevel"/>
    <w:tmpl w:val="7434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8522CFE"/>
    <w:multiLevelType w:val="hybridMultilevel"/>
    <w:tmpl w:val="A480648E"/>
    <w:lvl w:ilvl="0" w:tplc="04090015">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9" w15:restartNumberingAfterBreak="0">
    <w:nsid w:val="49D77B50"/>
    <w:multiLevelType w:val="hybridMultilevel"/>
    <w:tmpl w:val="70B4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404DC7"/>
    <w:multiLevelType w:val="hybridMultilevel"/>
    <w:tmpl w:val="27B4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A735FD3"/>
    <w:multiLevelType w:val="hybridMultilevel"/>
    <w:tmpl w:val="E572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BB2386F"/>
    <w:multiLevelType w:val="hybridMultilevel"/>
    <w:tmpl w:val="88549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BD14EDC"/>
    <w:multiLevelType w:val="hybridMultilevel"/>
    <w:tmpl w:val="3C72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D230601"/>
    <w:multiLevelType w:val="hybridMultilevel"/>
    <w:tmpl w:val="082A9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DA3309C"/>
    <w:multiLevelType w:val="hybridMultilevel"/>
    <w:tmpl w:val="AC581F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800894"/>
    <w:multiLevelType w:val="hybridMultilevel"/>
    <w:tmpl w:val="9E70C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34676DC"/>
    <w:multiLevelType w:val="hybridMultilevel"/>
    <w:tmpl w:val="685A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546351"/>
    <w:multiLevelType w:val="hybridMultilevel"/>
    <w:tmpl w:val="CACC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4A5106C"/>
    <w:multiLevelType w:val="hybridMultilevel"/>
    <w:tmpl w:val="5B9038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52532A8"/>
    <w:multiLevelType w:val="hybridMultilevel"/>
    <w:tmpl w:val="31F85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92" w15:restartNumberingAfterBreak="0">
    <w:nsid w:val="55B41EF0"/>
    <w:multiLevelType w:val="hybridMultilevel"/>
    <w:tmpl w:val="0D9A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7617D67"/>
    <w:multiLevelType w:val="hybridMultilevel"/>
    <w:tmpl w:val="6B08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9014BDB"/>
    <w:multiLevelType w:val="hybridMultilevel"/>
    <w:tmpl w:val="94AE7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95715D3"/>
    <w:multiLevelType w:val="hybridMultilevel"/>
    <w:tmpl w:val="D76E3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9683835"/>
    <w:multiLevelType w:val="hybridMultilevel"/>
    <w:tmpl w:val="F4DA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B0B0A80"/>
    <w:multiLevelType w:val="hybridMultilevel"/>
    <w:tmpl w:val="F724AA6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8" w15:restartNumberingAfterBreak="0">
    <w:nsid w:val="5B1E4653"/>
    <w:multiLevelType w:val="hybridMultilevel"/>
    <w:tmpl w:val="390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C057E8D"/>
    <w:multiLevelType w:val="multilevel"/>
    <w:tmpl w:val="D4A2FC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5D3B6BCF"/>
    <w:multiLevelType w:val="hybridMultilevel"/>
    <w:tmpl w:val="6608A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D6704C8"/>
    <w:multiLevelType w:val="hybridMultilevel"/>
    <w:tmpl w:val="EE90C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FC55622"/>
    <w:multiLevelType w:val="hybridMultilevel"/>
    <w:tmpl w:val="EF96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08B74DE"/>
    <w:multiLevelType w:val="hybridMultilevel"/>
    <w:tmpl w:val="9E546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23D0E61"/>
    <w:multiLevelType w:val="hybridMultilevel"/>
    <w:tmpl w:val="B79C78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3AC0BD8"/>
    <w:multiLevelType w:val="hybridMultilevel"/>
    <w:tmpl w:val="EBFCC5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7186167"/>
    <w:multiLevelType w:val="hybridMultilevel"/>
    <w:tmpl w:val="FDDCA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73B165A"/>
    <w:multiLevelType w:val="hybridMultilevel"/>
    <w:tmpl w:val="3E024E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8" w15:restartNumberingAfterBreak="0">
    <w:nsid w:val="674D3A4A"/>
    <w:multiLevelType w:val="hybridMultilevel"/>
    <w:tmpl w:val="3624754C"/>
    <w:lvl w:ilvl="0" w:tplc="A1582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76143B1"/>
    <w:multiLevelType w:val="hybridMultilevel"/>
    <w:tmpl w:val="33BC0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9401502"/>
    <w:multiLevelType w:val="hybridMultilevel"/>
    <w:tmpl w:val="EBFCC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E40B76"/>
    <w:multiLevelType w:val="hybridMultilevel"/>
    <w:tmpl w:val="E2D4A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BAF6D35"/>
    <w:multiLevelType w:val="hybridMultilevel"/>
    <w:tmpl w:val="7AEAF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C0602F7"/>
    <w:multiLevelType w:val="hybridMultilevel"/>
    <w:tmpl w:val="FF48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C827E51"/>
    <w:multiLevelType w:val="hybridMultilevel"/>
    <w:tmpl w:val="56EC3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FDE637B"/>
    <w:multiLevelType w:val="hybridMultilevel"/>
    <w:tmpl w:val="B35A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12D19A0"/>
    <w:multiLevelType w:val="hybridMultilevel"/>
    <w:tmpl w:val="8E7A7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3013D3D"/>
    <w:multiLevelType w:val="hybridMultilevel"/>
    <w:tmpl w:val="0F4E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B77172"/>
    <w:multiLevelType w:val="hybridMultilevel"/>
    <w:tmpl w:val="0A1A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815FA1"/>
    <w:multiLevelType w:val="multilevel"/>
    <w:tmpl w:val="E32E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8B33B2C"/>
    <w:multiLevelType w:val="multilevel"/>
    <w:tmpl w:val="AA981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9644B3A"/>
    <w:multiLevelType w:val="hybridMultilevel"/>
    <w:tmpl w:val="4E64E36A"/>
    <w:lvl w:ilvl="0" w:tplc="110AF39C">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9CE2EC6"/>
    <w:multiLevelType w:val="hybridMultilevel"/>
    <w:tmpl w:val="4BDA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A38087B"/>
    <w:multiLevelType w:val="multilevel"/>
    <w:tmpl w:val="FA4497E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7A8B7F3E"/>
    <w:multiLevelType w:val="hybridMultilevel"/>
    <w:tmpl w:val="A48895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127" w15:restartNumberingAfterBreak="0">
    <w:nsid w:val="7BBC247C"/>
    <w:multiLevelType w:val="hybridMultilevel"/>
    <w:tmpl w:val="3362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C5510FA"/>
    <w:multiLevelType w:val="hybridMultilevel"/>
    <w:tmpl w:val="AF32C6A2"/>
    <w:lvl w:ilvl="0" w:tplc="35847E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7CB34113"/>
    <w:multiLevelType w:val="hybridMultilevel"/>
    <w:tmpl w:val="93AA4622"/>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DF2107E"/>
    <w:multiLevelType w:val="hybridMultilevel"/>
    <w:tmpl w:val="C2B6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F053518"/>
    <w:multiLevelType w:val="hybridMultilevel"/>
    <w:tmpl w:val="3DE83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541797">
    <w:abstractNumId w:val="126"/>
  </w:num>
  <w:num w:numId="2" w16cid:durableId="524026827">
    <w:abstractNumId w:val="24"/>
  </w:num>
  <w:num w:numId="3" w16cid:durableId="1815372203">
    <w:abstractNumId w:val="57"/>
  </w:num>
  <w:num w:numId="4" w16cid:durableId="794560924">
    <w:abstractNumId w:val="91"/>
  </w:num>
  <w:num w:numId="5" w16cid:durableId="512233650">
    <w:abstractNumId w:val="76"/>
  </w:num>
  <w:num w:numId="6" w16cid:durableId="579364819">
    <w:abstractNumId w:val="114"/>
  </w:num>
  <w:num w:numId="7" w16cid:durableId="1332178989">
    <w:abstractNumId w:val="61"/>
  </w:num>
  <w:num w:numId="8" w16cid:durableId="500388550">
    <w:abstractNumId w:val="8"/>
  </w:num>
  <w:num w:numId="9" w16cid:durableId="1858689135">
    <w:abstractNumId w:val="95"/>
  </w:num>
  <w:num w:numId="10" w16cid:durableId="2127432521">
    <w:abstractNumId w:val="23"/>
  </w:num>
  <w:num w:numId="11" w16cid:durableId="1761877576">
    <w:abstractNumId w:val="45"/>
  </w:num>
  <w:num w:numId="12" w16cid:durableId="566766738">
    <w:abstractNumId w:val="80"/>
  </w:num>
  <w:num w:numId="13" w16cid:durableId="1976253270">
    <w:abstractNumId w:val="51"/>
  </w:num>
  <w:num w:numId="14" w16cid:durableId="64181379">
    <w:abstractNumId w:val="35"/>
  </w:num>
  <w:num w:numId="15" w16cid:durableId="1388718570">
    <w:abstractNumId w:val="111"/>
  </w:num>
  <w:num w:numId="16" w16cid:durableId="346752892">
    <w:abstractNumId w:val="46"/>
  </w:num>
  <w:num w:numId="17" w16cid:durableId="190462727">
    <w:abstractNumId w:val="73"/>
  </w:num>
  <w:num w:numId="18" w16cid:durableId="286859633">
    <w:abstractNumId w:val="58"/>
  </w:num>
  <w:num w:numId="19" w16cid:durableId="1837913678">
    <w:abstractNumId w:val="22"/>
  </w:num>
  <w:num w:numId="20" w16cid:durableId="519050896">
    <w:abstractNumId w:val="54"/>
  </w:num>
  <w:num w:numId="21" w16cid:durableId="435178340">
    <w:abstractNumId w:val="59"/>
  </w:num>
  <w:num w:numId="22" w16cid:durableId="1471560403">
    <w:abstractNumId w:val="25"/>
  </w:num>
  <w:num w:numId="23" w16cid:durableId="896017936">
    <w:abstractNumId w:val="121"/>
  </w:num>
  <w:num w:numId="24" w16cid:durableId="435251594">
    <w:abstractNumId w:val="124"/>
  </w:num>
  <w:num w:numId="25" w16cid:durableId="256986517">
    <w:abstractNumId w:val="15"/>
  </w:num>
  <w:num w:numId="26" w16cid:durableId="1954705157">
    <w:abstractNumId w:val="19"/>
  </w:num>
  <w:num w:numId="27" w16cid:durableId="298920746">
    <w:abstractNumId w:val="26"/>
  </w:num>
  <w:num w:numId="28" w16cid:durableId="1382368050">
    <w:abstractNumId w:val="2"/>
  </w:num>
  <w:num w:numId="29" w16cid:durableId="1932735509">
    <w:abstractNumId w:val="102"/>
  </w:num>
  <w:num w:numId="30" w16cid:durableId="1153906554">
    <w:abstractNumId w:val="108"/>
  </w:num>
  <w:num w:numId="31" w16cid:durableId="1400051549">
    <w:abstractNumId w:val="81"/>
  </w:num>
  <w:num w:numId="32" w16cid:durableId="1705792712">
    <w:abstractNumId w:val="119"/>
  </w:num>
  <w:num w:numId="33" w16cid:durableId="2019119317">
    <w:abstractNumId w:val="31"/>
  </w:num>
  <w:num w:numId="34" w16cid:durableId="1999654833">
    <w:abstractNumId w:val="100"/>
  </w:num>
  <w:num w:numId="35" w16cid:durableId="926576056">
    <w:abstractNumId w:val="6"/>
  </w:num>
  <w:num w:numId="36" w16cid:durableId="242685439">
    <w:abstractNumId w:val="75"/>
  </w:num>
  <w:num w:numId="37" w16cid:durableId="1244727058">
    <w:abstractNumId w:val="118"/>
  </w:num>
  <w:num w:numId="38" w16cid:durableId="322783865">
    <w:abstractNumId w:val="27"/>
  </w:num>
  <w:num w:numId="39" w16cid:durableId="1766683011">
    <w:abstractNumId w:val="20"/>
  </w:num>
  <w:num w:numId="40" w16cid:durableId="3121076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8080749">
    <w:abstractNumId w:val="70"/>
  </w:num>
  <w:num w:numId="42" w16cid:durableId="1759256736">
    <w:abstractNumId w:val="28"/>
  </w:num>
  <w:num w:numId="43" w16cid:durableId="1667980774">
    <w:abstractNumId w:val="120"/>
  </w:num>
  <w:num w:numId="44" w16cid:durableId="170459722">
    <w:abstractNumId w:val="41"/>
  </w:num>
  <w:num w:numId="45" w16cid:durableId="1829321199">
    <w:abstractNumId w:val="41"/>
    <w:lvlOverride w:ilvl="2">
      <w:lvl w:ilvl="2">
        <w:numFmt w:val="bullet"/>
        <w:lvlText w:val=""/>
        <w:lvlJc w:val="left"/>
        <w:pPr>
          <w:tabs>
            <w:tab w:val="num" w:pos="2160"/>
          </w:tabs>
          <w:ind w:left="2160" w:hanging="360"/>
        </w:pPr>
        <w:rPr>
          <w:rFonts w:ascii="Wingdings" w:hAnsi="Wingdings" w:hint="default"/>
          <w:sz w:val="20"/>
        </w:rPr>
      </w:lvl>
    </w:lvlOverride>
  </w:num>
  <w:num w:numId="46" w16cid:durableId="1873182339">
    <w:abstractNumId w:val="41"/>
    <w:lvlOverride w:ilvl="2">
      <w:lvl w:ilvl="2">
        <w:numFmt w:val="bullet"/>
        <w:lvlText w:val="o"/>
        <w:lvlJc w:val="left"/>
        <w:pPr>
          <w:tabs>
            <w:tab w:val="num" w:pos="2160"/>
          </w:tabs>
          <w:ind w:left="2160" w:hanging="360"/>
        </w:pPr>
        <w:rPr>
          <w:rFonts w:ascii="Courier New" w:hAnsi="Courier New" w:hint="default"/>
          <w:sz w:val="20"/>
        </w:rPr>
      </w:lvl>
    </w:lvlOverride>
  </w:num>
  <w:num w:numId="47" w16cid:durableId="957758266">
    <w:abstractNumId w:val="85"/>
  </w:num>
  <w:num w:numId="48" w16cid:durableId="392237663">
    <w:abstractNumId w:val="122"/>
  </w:num>
  <w:num w:numId="49" w16cid:durableId="759834331">
    <w:abstractNumId w:val="0"/>
  </w:num>
  <w:num w:numId="50" w16cid:durableId="593586240">
    <w:abstractNumId w:val="39"/>
  </w:num>
  <w:num w:numId="51" w16cid:durableId="627199239">
    <w:abstractNumId w:val="129"/>
  </w:num>
  <w:num w:numId="52" w16cid:durableId="1004279054">
    <w:abstractNumId w:val="10"/>
  </w:num>
  <w:num w:numId="53" w16cid:durableId="1343313665">
    <w:abstractNumId w:val="29"/>
  </w:num>
  <w:num w:numId="54" w16cid:durableId="1305308282">
    <w:abstractNumId w:val="127"/>
  </w:num>
  <w:num w:numId="55" w16cid:durableId="383256086">
    <w:abstractNumId w:val="113"/>
  </w:num>
  <w:num w:numId="56" w16cid:durableId="1499612521">
    <w:abstractNumId w:val="14"/>
  </w:num>
  <w:num w:numId="57" w16cid:durableId="633602522">
    <w:abstractNumId w:val="109"/>
  </w:num>
  <w:num w:numId="58" w16cid:durableId="1611929674">
    <w:abstractNumId w:val="43"/>
  </w:num>
  <w:num w:numId="59" w16cid:durableId="1944335087">
    <w:abstractNumId w:val="40"/>
  </w:num>
  <w:num w:numId="60" w16cid:durableId="759762081">
    <w:abstractNumId w:val="42"/>
  </w:num>
  <w:num w:numId="61" w16cid:durableId="1124075757">
    <w:abstractNumId w:val="52"/>
  </w:num>
  <w:num w:numId="62" w16cid:durableId="1464811680">
    <w:abstractNumId w:val="7"/>
  </w:num>
  <w:num w:numId="63" w16cid:durableId="866063162">
    <w:abstractNumId w:val="99"/>
  </w:num>
  <w:num w:numId="64" w16cid:durableId="12612441">
    <w:abstractNumId w:val="56"/>
  </w:num>
  <w:num w:numId="65" w16cid:durableId="458380000">
    <w:abstractNumId w:val="68"/>
  </w:num>
  <w:num w:numId="66" w16cid:durableId="16975421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18566545">
    <w:abstractNumId w:val="72"/>
  </w:num>
  <w:num w:numId="68" w16cid:durableId="2103794896">
    <w:abstractNumId w:val="65"/>
  </w:num>
  <w:num w:numId="69" w16cid:durableId="1016342526">
    <w:abstractNumId w:val="32"/>
  </w:num>
  <w:num w:numId="70" w16cid:durableId="2072921467">
    <w:abstractNumId w:val="33"/>
  </w:num>
  <w:num w:numId="71" w16cid:durableId="1947154143">
    <w:abstractNumId w:val="96"/>
  </w:num>
  <w:num w:numId="72" w16cid:durableId="669529042">
    <w:abstractNumId w:val="55"/>
  </w:num>
  <w:num w:numId="73" w16cid:durableId="316886872">
    <w:abstractNumId w:val="34"/>
  </w:num>
  <w:num w:numId="74" w16cid:durableId="1512378927">
    <w:abstractNumId w:val="1"/>
  </w:num>
  <w:num w:numId="75" w16cid:durableId="1469936506">
    <w:abstractNumId w:val="44"/>
  </w:num>
  <w:num w:numId="76" w16cid:durableId="2944101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98822339">
    <w:abstractNumId w:val="53"/>
  </w:num>
  <w:num w:numId="78" w16cid:durableId="1999576313">
    <w:abstractNumId w:val="67"/>
  </w:num>
  <w:num w:numId="79" w16cid:durableId="1851870796">
    <w:abstractNumId w:val="123"/>
  </w:num>
  <w:num w:numId="80" w16cid:durableId="1431193387">
    <w:abstractNumId w:val="12"/>
  </w:num>
  <w:num w:numId="81" w16cid:durableId="297229140">
    <w:abstractNumId w:val="130"/>
  </w:num>
  <w:num w:numId="82" w16cid:durableId="133371055">
    <w:abstractNumId w:val="76"/>
  </w:num>
  <w:num w:numId="83" w16cid:durableId="205777765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13997427">
    <w:abstractNumId w:val="89"/>
  </w:num>
  <w:num w:numId="85" w16cid:durableId="235552713">
    <w:abstractNumId w:val="86"/>
  </w:num>
  <w:num w:numId="86" w16cid:durableId="36857943">
    <w:abstractNumId w:val="36"/>
  </w:num>
  <w:num w:numId="87" w16cid:durableId="939410739">
    <w:abstractNumId w:val="112"/>
  </w:num>
  <w:num w:numId="88" w16cid:durableId="854031527">
    <w:abstractNumId w:val="106"/>
  </w:num>
  <w:num w:numId="89" w16cid:durableId="1082920757">
    <w:abstractNumId w:val="101"/>
  </w:num>
  <w:num w:numId="90" w16cid:durableId="1049064254">
    <w:abstractNumId w:val="97"/>
  </w:num>
  <w:num w:numId="91" w16cid:durableId="1992253384">
    <w:abstractNumId w:val="84"/>
  </w:num>
  <w:num w:numId="92" w16cid:durableId="1273585345">
    <w:abstractNumId w:val="115"/>
  </w:num>
  <w:num w:numId="93" w16cid:durableId="1731608661">
    <w:abstractNumId w:val="64"/>
  </w:num>
  <w:num w:numId="94" w16cid:durableId="805586394">
    <w:abstractNumId w:val="4"/>
  </w:num>
  <w:num w:numId="95" w16cid:durableId="1424455913">
    <w:abstractNumId w:val="76"/>
  </w:num>
  <w:num w:numId="96" w16cid:durableId="1809123010">
    <w:abstractNumId w:val="76"/>
  </w:num>
  <w:num w:numId="97" w16cid:durableId="1290863759">
    <w:abstractNumId w:val="76"/>
  </w:num>
  <w:num w:numId="98" w16cid:durableId="2126077170">
    <w:abstractNumId w:val="76"/>
  </w:num>
  <w:num w:numId="99" w16cid:durableId="1115950407">
    <w:abstractNumId w:val="131"/>
  </w:num>
  <w:num w:numId="100" w16cid:durableId="762729361">
    <w:abstractNumId w:val="50"/>
  </w:num>
  <w:num w:numId="101" w16cid:durableId="1466006164">
    <w:abstractNumId w:val="101"/>
  </w:num>
  <w:num w:numId="102" w16cid:durableId="571474431">
    <w:abstractNumId w:val="16"/>
  </w:num>
  <w:num w:numId="103" w16cid:durableId="43070369">
    <w:abstractNumId w:val="110"/>
  </w:num>
  <w:num w:numId="104" w16cid:durableId="1472944093">
    <w:abstractNumId w:val="11"/>
  </w:num>
  <w:num w:numId="105" w16cid:durableId="1666467561">
    <w:abstractNumId w:val="128"/>
  </w:num>
  <w:num w:numId="106" w16cid:durableId="216235985">
    <w:abstractNumId w:val="103"/>
  </w:num>
  <w:num w:numId="107" w16cid:durableId="1872645479">
    <w:abstractNumId w:val="13"/>
  </w:num>
  <w:num w:numId="108" w16cid:durableId="1653682803">
    <w:abstractNumId w:val="104"/>
  </w:num>
  <w:num w:numId="109" w16cid:durableId="669253902">
    <w:abstractNumId w:val="47"/>
  </w:num>
  <w:num w:numId="110" w16cid:durableId="1437600839">
    <w:abstractNumId w:val="63"/>
  </w:num>
  <w:num w:numId="111" w16cid:durableId="447167368">
    <w:abstractNumId w:val="76"/>
  </w:num>
  <w:num w:numId="112" w16cid:durableId="219707324">
    <w:abstractNumId w:val="76"/>
  </w:num>
  <w:num w:numId="113" w16cid:durableId="1235355599">
    <w:abstractNumId w:val="77"/>
  </w:num>
  <w:num w:numId="114" w16cid:durableId="941956494">
    <w:abstractNumId w:val="18"/>
  </w:num>
  <w:num w:numId="115" w16cid:durableId="153691071">
    <w:abstractNumId w:val="9"/>
  </w:num>
  <w:num w:numId="116" w16cid:durableId="1347902862">
    <w:abstractNumId w:val="90"/>
  </w:num>
  <w:num w:numId="117" w16cid:durableId="4753430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742066753">
    <w:abstractNumId w:val="71"/>
  </w:num>
  <w:num w:numId="119" w16cid:durableId="1945140360">
    <w:abstractNumId w:val="66"/>
  </w:num>
  <w:num w:numId="120" w16cid:durableId="2117407211">
    <w:abstractNumId w:val="105"/>
  </w:num>
  <w:num w:numId="121" w16cid:durableId="1266381473">
    <w:abstractNumId w:val="107"/>
  </w:num>
  <w:num w:numId="122" w16cid:durableId="751246302">
    <w:abstractNumId w:val="87"/>
  </w:num>
  <w:num w:numId="123" w16cid:durableId="29838836">
    <w:abstractNumId w:val="69"/>
  </w:num>
  <w:num w:numId="124" w16cid:durableId="401024711">
    <w:abstractNumId w:val="98"/>
  </w:num>
  <w:num w:numId="125" w16cid:durableId="1722483146">
    <w:abstractNumId w:val="93"/>
  </w:num>
  <w:num w:numId="126" w16cid:durableId="2019381406">
    <w:abstractNumId w:val="117"/>
  </w:num>
  <w:num w:numId="127" w16cid:durableId="231281541">
    <w:abstractNumId w:val="3"/>
  </w:num>
  <w:num w:numId="128" w16cid:durableId="1822697419">
    <w:abstractNumId w:val="74"/>
  </w:num>
  <w:num w:numId="129" w16cid:durableId="116065701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26414050">
    <w:abstractNumId w:val="88"/>
  </w:num>
  <w:num w:numId="131" w16cid:durableId="14374028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830236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5282242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2203595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50079739">
    <w:abstractNumId w:val="62"/>
  </w:num>
  <w:num w:numId="136" w16cid:durableId="347562944">
    <w:abstractNumId w:val="5"/>
  </w:num>
  <w:num w:numId="137" w16cid:durableId="825827915">
    <w:abstractNumId w:val="79"/>
  </w:num>
  <w:num w:numId="138" w16cid:durableId="22094188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01526299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93744924">
    <w:abstractNumId w:val="116"/>
  </w:num>
  <w:num w:numId="141" w16cid:durableId="1971865234">
    <w:abstractNumId w:val="30"/>
  </w:num>
  <w:num w:numId="142" w16cid:durableId="1819297138">
    <w:abstractNumId w:val="76"/>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509637458">
    <w:abstractNumId w:val="92"/>
  </w:num>
  <w:num w:numId="144" w16cid:durableId="711729255">
    <w:abstractNumId w:val="94"/>
  </w:num>
  <w:num w:numId="145" w16cid:durableId="779109180">
    <w:abstractNumId w:val="49"/>
  </w:num>
  <w:num w:numId="146" w16cid:durableId="290012711">
    <w:abstractNumId w:val="37"/>
  </w:num>
  <w:num w:numId="147" w16cid:durableId="1779983928">
    <w:abstractNumId w:val="83"/>
  </w:num>
  <w:num w:numId="148" w16cid:durableId="1614819791">
    <w:abstractNumId w:val="17"/>
  </w:num>
  <w:num w:numId="149" w16cid:durableId="1954315016">
    <w:abstractNumId w:val="60"/>
  </w:num>
  <w:num w:numId="150" w16cid:durableId="1475567320">
    <w:abstractNumId w:val="82"/>
  </w:num>
  <w:num w:numId="151" w16cid:durableId="56703551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42390362">
    <w:abstractNumId w:val="21"/>
  </w:num>
  <w:num w:numId="153" w16cid:durableId="1060439839">
    <w:abstractNumId w:val="78"/>
  </w:num>
  <w:num w:numId="154" w16cid:durableId="789085931">
    <w:abstractNumId w:val="1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35"/>
    <w:rsid w:val="000000D4"/>
    <w:rsid w:val="00000E21"/>
    <w:rsid w:val="00001B3B"/>
    <w:rsid w:val="00003ADD"/>
    <w:rsid w:val="00004887"/>
    <w:rsid w:val="00005592"/>
    <w:rsid w:val="00006C91"/>
    <w:rsid w:val="00007207"/>
    <w:rsid w:val="000107BF"/>
    <w:rsid w:val="000110E7"/>
    <w:rsid w:val="000115A0"/>
    <w:rsid w:val="000125E9"/>
    <w:rsid w:val="00013441"/>
    <w:rsid w:val="00014493"/>
    <w:rsid w:val="00014C33"/>
    <w:rsid w:val="000154CD"/>
    <w:rsid w:val="00016F99"/>
    <w:rsid w:val="00016FB6"/>
    <w:rsid w:val="00017608"/>
    <w:rsid w:val="00021607"/>
    <w:rsid w:val="00021EC9"/>
    <w:rsid w:val="0002285D"/>
    <w:rsid w:val="00024155"/>
    <w:rsid w:val="000246A5"/>
    <w:rsid w:val="00025979"/>
    <w:rsid w:val="000265F7"/>
    <w:rsid w:val="00026802"/>
    <w:rsid w:val="00026CCC"/>
    <w:rsid w:val="00026DEA"/>
    <w:rsid w:val="0003210B"/>
    <w:rsid w:val="000323F5"/>
    <w:rsid w:val="00033B98"/>
    <w:rsid w:val="00034332"/>
    <w:rsid w:val="0003457A"/>
    <w:rsid w:val="000360B0"/>
    <w:rsid w:val="0003647B"/>
    <w:rsid w:val="0003694D"/>
    <w:rsid w:val="00036BA8"/>
    <w:rsid w:val="00040363"/>
    <w:rsid w:val="00044769"/>
    <w:rsid w:val="00044830"/>
    <w:rsid w:val="00045170"/>
    <w:rsid w:val="0004571C"/>
    <w:rsid w:val="00045F7E"/>
    <w:rsid w:val="000471E2"/>
    <w:rsid w:val="000472D5"/>
    <w:rsid w:val="0005006D"/>
    <w:rsid w:val="00052959"/>
    <w:rsid w:val="00052C96"/>
    <w:rsid w:val="00053C32"/>
    <w:rsid w:val="0005491F"/>
    <w:rsid w:val="00055902"/>
    <w:rsid w:val="00060058"/>
    <w:rsid w:val="000607E0"/>
    <w:rsid w:val="000609C4"/>
    <w:rsid w:val="0006164D"/>
    <w:rsid w:val="00062382"/>
    <w:rsid w:val="00063162"/>
    <w:rsid w:val="00063F34"/>
    <w:rsid w:val="000678DE"/>
    <w:rsid w:val="00070357"/>
    <w:rsid w:val="000707D0"/>
    <w:rsid w:val="000711B6"/>
    <w:rsid w:val="0007207E"/>
    <w:rsid w:val="000723B7"/>
    <w:rsid w:val="00074364"/>
    <w:rsid w:val="000748DC"/>
    <w:rsid w:val="000759DD"/>
    <w:rsid w:val="00077DC7"/>
    <w:rsid w:val="000800E7"/>
    <w:rsid w:val="00080294"/>
    <w:rsid w:val="00080C05"/>
    <w:rsid w:val="00080F86"/>
    <w:rsid w:val="00082FCA"/>
    <w:rsid w:val="00084139"/>
    <w:rsid w:val="00084687"/>
    <w:rsid w:val="00084E7C"/>
    <w:rsid w:val="00084ED7"/>
    <w:rsid w:val="00090559"/>
    <w:rsid w:val="00090D26"/>
    <w:rsid w:val="000915BD"/>
    <w:rsid w:val="00091786"/>
    <w:rsid w:val="00091CEE"/>
    <w:rsid w:val="00092851"/>
    <w:rsid w:val="000937B6"/>
    <w:rsid w:val="000959B3"/>
    <w:rsid w:val="000963C2"/>
    <w:rsid w:val="00097591"/>
    <w:rsid w:val="00097C16"/>
    <w:rsid w:val="000A1A3D"/>
    <w:rsid w:val="000A22F3"/>
    <w:rsid w:val="000A26F9"/>
    <w:rsid w:val="000A2E32"/>
    <w:rsid w:val="000A4051"/>
    <w:rsid w:val="000A40EF"/>
    <w:rsid w:val="000A445F"/>
    <w:rsid w:val="000A4DED"/>
    <w:rsid w:val="000A5DFA"/>
    <w:rsid w:val="000B0C83"/>
    <w:rsid w:val="000B3FF5"/>
    <w:rsid w:val="000B47C0"/>
    <w:rsid w:val="000B5F11"/>
    <w:rsid w:val="000B771D"/>
    <w:rsid w:val="000C008B"/>
    <w:rsid w:val="000C2B30"/>
    <w:rsid w:val="000C4603"/>
    <w:rsid w:val="000C49BD"/>
    <w:rsid w:val="000C4F6D"/>
    <w:rsid w:val="000C6019"/>
    <w:rsid w:val="000C6AD8"/>
    <w:rsid w:val="000C7B31"/>
    <w:rsid w:val="000C7E8B"/>
    <w:rsid w:val="000D03C1"/>
    <w:rsid w:val="000D11B2"/>
    <w:rsid w:val="000D1EBF"/>
    <w:rsid w:val="000D20FC"/>
    <w:rsid w:val="000D2D2B"/>
    <w:rsid w:val="000D3437"/>
    <w:rsid w:val="000D47E8"/>
    <w:rsid w:val="000D4BD2"/>
    <w:rsid w:val="000D5A18"/>
    <w:rsid w:val="000D6145"/>
    <w:rsid w:val="000D6F08"/>
    <w:rsid w:val="000E1D67"/>
    <w:rsid w:val="000E3851"/>
    <w:rsid w:val="000E6631"/>
    <w:rsid w:val="000E7BE8"/>
    <w:rsid w:val="000F146E"/>
    <w:rsid w:val="000F1EF1"/>
    <w:rsid w:val="000F1FFE"/>
    <w:rsid w:val="000F3431"/>
    <w:rsid w:val="000F573B"/>
    <w:rsid w:val="000F600A"/>
    <w:rsid w:val="000F68E8"/>
    <w:rsid w:val="000F6FAA"/>
    <w:rsid w:val="000F6FCB"/>
    <w:rsid w:val="000F7506"/>
    <w:rsid w:val="001003BC"/>
    <w:rsid w:val="001011A5"/>
    <w:rsid w:val="00101C2F"/>
    <w:rsid w:val="0010250E"/>
    <w:rsid w:val="001025D8"/>
    <w:rsid w:val="00102E2A"/>
    <w:rsid w:val="001038F9"/>
    <w:rsid w:val="00104037"/>
    <w:rsid w:val="00104462"/>
    <w:rsid w:val="00105030"/>
    <w:rsid w:val="00105698"/>
    <w:rsid w:val="0010667E"/>
    <w:rsid w:val="00107072"/>
    <w:rsid w:val="001104AF"/>
    <w:rsid w:val="0011320D"/>
    <w:rsid w:val="00113F96"/>
    <w:rsid w:val="001154F5"/>
    <w:rsid w:val="001178FD"/>
    <w:rsid w:val="00120DFD"/>
    <w:rsid w:val="00121112"/>
    <w:rsid w:val="00121501"/>
    <w:rsid w:val="001216C4"/>
    <w:rsid w:val="001224E5"/>
    <w:rsid w:val="001228E2"/>
    <w:rsid w:val="00123CF7"/>
    <w:rsid w:val="001251C8"/>
    <w:rsid w:val="00125322"/>
    <w:rsid w:val="001259FF"/>
    <w:rsid w:val="00125A45"/>
    <w:rsid w:val="001263F1"/>
    <w:rsid w:val="001266A7"/>
    <w:rsid w:val="00126F85"/>
    <w:rsid w:val="00127145"/>
    <w:rsid w:val="001277BF"/>
    <w:rsid w:val="00131AFF"/>
    <w:rsid w:val="001328EC"/>
    <w:rsid w:val="001340FF"/>
    <w:rsid w:val="00135CD3"/>
    <w:rsid w:val="00136151"/>
    <w:rsid w:val="001366F2"/>
    <w:rsid w:val="001376A6"/>
    <w:rsid w:val="001376AE"/>
    <w:rsid w:val="00140111"/>
    <w:rsid w:val="00140D1A"/>
    <w:rsid w:val="00140FF2"/>
    <w:rsid w:val="001414CC"/>
    <w:rsid w:val="00142125"/>
    <w:rsid w:val="00142AA9"/>
    <w:rsid w:val="00142F2D"/>
    <w:rsid w:val="00143217"/>
    <w:rsid w:val="00144142"/>
    <w:rsid w:val="0014420A"/>
    <w:rsid w:val="00146236"/>
    <w:rsid w:val="00147681"/>
    <w:rsid w:val="00150182"/>
    <w:rsid w:val="00150922"/>
    <w:rsid w:val="0015107A"/>
    <w:rsid w:val="001512A7"/>
    <w:rsid w:val="00152236"/>
    <w:rsid w:val="001522DC"/>
    <w:rsid w:val="00152A52"/>
    <w:rsid w:val="00153671"/>
    <w:rsid w:val="00155E97"/>
    <w:rsid w:val="00156965"/>
    <w:rsid w:val="00156B0A"/>
    <w:rsid w:val="00157077"/>
    <w:rsid w:val="001613A5"/>
    <w:rsid w:val="00162ECE"/>
    <w:rsid w:val="00163071"/>
    <w:rsid w:val="00165A28"/>
    <w:rsid w:val="001662C8"/>
    <w:rsid w:val="0016725E"/>
    <w:rsid w:val="001705D8"/>
    <w:rsid w:val="001734BE"/>
    <w:rsid w:val="00174CC3"/>
    <w:rsid w:val="0017506F"/>
    <w:rsid w:val="00175724"/>
    <w:rsid w:val="00177E52"/>
    <w:rsid w:val="00183454"/>
    <w:rsid w:val="00185AA7"/>
    <w:rsid w:val="00186F62"/>
    <w:rsid w:val="001874A4"/>
    <w:rsid w:val="00187DC9"/>
    <w:rsid w:val="001907C5"/>
    <w:rsid w:val="00190BD9"/>
    <w:rsid w:val="00190D19"/>
    <w:rsid w:val="00191101"/>
    <w:rsid w:val="00194538"/>
    <w:rsid w:val="00195553"/>
    <w:rsid w:val="001959B8"/>
    <w:rsid w:val="00197F86"/>
    <w:rsid w:val="001A1D8C"/>
    <w:rsid w:val="001A1E70"/>
    <w:rsid w:val="001A226C"/>
    <w:rsid w:val="001A332D"/>
    <w:rsid w:val="001A37C9"/>
    <w:rsid w:val="001A3D0F"/>
    <w:rsid w:val="001A5979"/>
    <w:rsid w:val="001A5DE9"/>
    <w:rsid w:val="001A5FF5"/>
    <w:rsid w:val="001A69C5"/>
    <w:rsid w:val="001A74B7"/>
    <w:rsid w:val="001A78A3"/>
    <w:rsid w:val="001B16A6"/>
    <w:rsid w:val="001B2249"/>
    <w:rsid w:val="001B296C"/>
    <w:rsid w:val="001B46ED"/>
    <w:rsid w:val="001B509F"/>
    <w:rsid w:val="001B565B"/>
    <w:rsid w:val="001B5DE3"/>
    <w:rsid w:val="001B7C72"/>
    <w:rsid w:val="001B7C99"/>
    <w:rsid w:val="001C0DCC"/>
    <w:rsid w:val="001C0F9B"/>
    <w:rsid w:val="001C24A6"/>
    <w:rsid w:val="001C3068"/>
    <w:rsid w:val="001C3318"/>
    <w:rsid w:val="001C3891"/>
    <w:rsid w:val="001C4BA6"/>
    <w:rsid w:val="001C5C20"/>
    <w:rsid w:val="001C5C6C"/>
    <w:rsid w:val="001C638A"/>
    <w:rsid w:val="001C68C4"/>
    <w:rsid w:val="001C6DFA"/>
    <w:rsid w:val="001C7627"/>
    <w:rsid w:val="001D228B"/>
    <w:rsid w:val="001D3070"/>
    <w:rsid w:val="001D40CF"/>
    <w:rsid w:val="001D6452"/>
    <w:rsid w:val="001D7DF0"/>
    <w:rsid w:val="001D7E48"/>
    <w:rsid w:val="001E0820"/>
    <w:rsid w:val="001E1359"/>
    <w:rsid w:val="001E1366"/>
    <w:rsid w:val="001E1B55"/>
    <w:rsid w:val="001E2623"/>
    <w:rsid w:val="001E3BB1"/>
    <w:rsid w:val="001E62E8"/>
    <w:rsid w:val="001E683F"/>
    <w:rsid w:val="001E6D2D"/>
    <w:rsid w:val="001E6FCA"/>
    <w:rsid w:val="001E7778"/>
    <w:rsid w:val="001E791A"/>
    <w:rsid w:val="001F0537"/>
    <w:rsid w:val="001F083F"/>
    <w:rsid w:val="001F0988"/>
    <w:rsid w:val="001F1126"/>
    <w:rsid w:val="001F2746"/>
    <w:rsid w:val="001F323E"/>
    <w:rsid w:val="001F3FFD"/>
    <w:rsid w:val="001F51DC"/>
    <w:rsid w:val="001F684B"/>
    <w:rsid w:val="00200EA2"/>
    <w:rsid w:val="002019E1"/>
    <w:rsid w:val="00204199"/>
    <w:rsid w:val="002044B5"/>
    <w:rsid w:val="0020484A"/>
    <w:rsid w:val="00205BDC"/>
    <w:rsid w:val="00205F14"/>
    <w:rsid w:val="0020661A"/>
    <w:rsid w:val="00210F8A"/>
    <w:rsid w:val="002110D5"/>
    <w:rsid w:val="00211663"/>
    <w:rsid w:val="00212AC5"/>
    <w:rsid w:val="00212D35"/>
    <w:rsid w:val="00212FCB"/>
    <w:rsid w:val="00213659"/>
    <w:rsid w:val="002140A8"/>
    <w:rsid w:val="002146AA"/>
    <w:rsid w:val="00214732"/>
    <w:rsid w:val="00215476"/>
    <w:rsid w:val="002156FD"/>
    <w:rsid w:val="0021656C"/>
    <w:rsid w:val="0021774E"/>
    <w:rsid w:val="00217CEF"/>
    <w:rsid w:val="00220660"/>
    <w:rsid w:val="00223390"/>
    <w:rsid w:val="00225234"/>
    <w:rsid w:val="00226793"/>
    <w:rsid w:val="002273A5"/>
    <w:rsid w:val="002276D8"/>
    <w:rsid w:val="00230586"/>
    <w:rsid w:val="00230F28"/>
    <w:rsid w:val="002314BE"/>
    <w:rsid w:val="00232B0D"/>
    <w:rsid w:val="00235528"/>
    <w:rsid w:val="00235F2E"/>
    <w:rsid w:val="0023648D"/>
    <w:rsid w:val="00240F21"/>
    <w:rsid w:val="00241862"/>
    <w:rsid w:val="002419F1"/>
    <w:rsid w:val="00242563"/>
    <w:rsid w:val="00243418"/>
    <w:rsid w:val="00243759"/>
    <w:rsid w:val="00243A5F"/>
    <w:rsid w:val="00243C52"/>
    <w:rsid w:val="00244329"/>
    <w:rsid w:val="00244504"/>
    <w:rsid w:val="00244E86"/>
    <w:rsid w:val="00245BFB"/>
    <w:rsid w:val="00245DDF"/>
    <w:rsid w:val="0024780F"/>
    <w:rsid w:val="00247AE4"/>
    <w:rsid w:val="00247DA9"/>
    <w:rsid w:val="00247EDB"/>
    <w:rsid w:val="00253414"/>
    <w:rsid w:val="0025349B"/>
    <w:rsid w:val="00254B75"/>
    <w:rsid w:val="002565CE"/>
    <w:rsid w:val="00260EFC"/>
    <w:rsid w:val="0026110C"/>
    <w:rsid w:val="002611C4"/>
    <w:rsid w:val="00261800"/>
    <w:rsid w:val="00261DBE"/>
    <w:rsid w:val="00262345"/>
    <w:rsid w:val="00262AD8"/>
    <w:rsid w:val="00263178"/>
    <w:rsid w:val="00263CEF"/>
    <w:rsid w:val="002656FA"/>
    <w:rsid w:val="00266A7D"/>
    <w:rsid w:val="00267FB1"/>
    <w:rsid w:val="002704E3"/>
    <w:rsid w:val="00270B4C"/>
    <w:rsid w:val="002712FD"/>
    <w:rsid w:val="00272C87"/>
    <w:rsid w:val="00273CF1"/>
    <w:rsid w:val="0027571F"/>
    <w:rsid w:val="00275AD9"/>
    <w:rsid w:val="002761B6"/>
    <w:rsid w:val="0027654E"/>
    <w:rsid w:val="00280FFF"/>
    <w:rsid w:val="00281D50"/>
    <w:rsid w:val="00281E9B"/>
    <w:rsid w:val="002828F3"/>
    <w:rsid w:val="00282B66"/>
    <w:rsid w:val="00282FD7"/>
    <w:rsid w:val="002832F6"/>
    <w:rsid w:val="002843CA"/>
    <w:rsid w:val="00285345"/>
    <w:rsid w:val="00285672"/>
    <w:rsid w:val="00285904"/>
    <w:rsid w:val="00286D89"/>
    <w:rsid w:val="00290DD7"/>
    <w:rsid w:val="0029384B"/>
    <w:rsid w:val="002938C0"/>
    <w:rsid w:val="002973FC"/>
    <w:rsid w:val="002979CF"/>
    <w:rsid w:val="002A03B6"/>
    <w:rsid w:val="002A1522"/>
    <w:rsid w:val="002A2FED"/>
    <w:rsid w:val="002A31C2"/>
    <w:rsid w:val="002A38FE"/>
    <w:rsid w:val="002A5BD0"/>
    <w:rsid w:val="002A632D"/>
    <w:rsid w:val="002A6A88"/>
    <w:rsid w:val="002A7366"/>
    <w:rsid w:val="002B0769"/>
    <w:rsid w:val="002B0FEA"/>
    <w:rsid w:val="002B2C85"/>
    <w:rsid w:val="002B43EA"/>
    <w:rsid w:val="002B6DD4"/>
    <w:rsid w:val="002B7504"/>
    <w:rsid w:val="002C0A1B"/>
    <w:rsid w:val="002C0BD8"/>
    <w:rsid w:val="002C0C9E"/>
    <w:rsid w:val="002C0E91"/>
    <w:rsid w:val="002C19A7"/>
    <w:rsid w:val="002C1B44"/>
    <w:rsid w:val="002C1E99"/>
    <w:rsid w:val="002C4B98"/>
    <w:rsid w:val="002C5C5D"/>
    <w:rsid w:val="002C6615"/>
    <w:rsid w:val="002C6F19"/>
    <w:rsid w:val="002C6FD0"/>
    <w:rsid w:val="002C7B51"/>
    <w:rsid w:val="002D0301"/>
    <w:rsid w:val="002D1178"/>
    <w:rsid w:val="002D200A"/>
    <w:rsid w:val="002D20DA"/>
    <w:rsid w:val="002D3BB7"/>
    <w:rsid w:val="002D3C2B"/>
    <w:rsid w:val="002D3CD9"/>
    <w:rsid w:val="002D4D90"/>
    <w:rsid w:val="002D5442"/>
    <w:rsid w:val="002D55B1"/>
    <w:rsid w:val="002D57A4"/>
    <w:rsid w:val="002D6C36"/>
    <w:rsid w:val="002D6F5D"/>
    <w:rsid w:val="002E050A"/>
    <w:rsid w:val="002E06F5"/>
    <w:rsid w:val="002E1230"/>
    <w:rsid w:val="002E36EE"/>
    <w:rsid w:val="002E41E2"/>
    <w:rsid w:val="002E4A78"/>
    <w:rsid w:val="002E4B9E"/>
    <w:rsid w:val="002E6695"/>
    <w:rsid w:val="002E7413"/>
    <w:rsid w:val="002F0E0C"/>
    <w:rsid w:val="002F20B4"/>
    <w:rsid w:val="002F45CE"/>
    <w:rsid w:val="002F5038"/>
    <w:rsid w:val="002F56FE"/>
    <w:rsid w:val="002F6E03"/>
    <w:rsid w:val="0030057C"/>
    <w:rsid w:val="00300CF5"/>
    <w:rsid w:val="00301271"/>
    <w:rsid w:val="0030182A"/>
    <w:rsid w:val="00302B61"/>
    <w:rsid w:val="00304689"/>
    <w:rsid w:val="00304FB3"/>
    <w:rsid w:val="00306F9E"/>
    <w:rsid w:val="003109F1"/>
    <w:rsid w:val="00310E77"/>
    <w:rsid w:val="0031193C"/>
    <w:rsid w:val="00311BB8"/>
    <w:rsid w:val="00313488"/>
    <w:rsid w:val="003140FF"/>
    <w:rsid w:val="00314697"/>
    <w:rsid w:val="00314803"/>
    <w:rsid w:val="00315A17"/>
    <w:rsid w:val="00315D19"/>
    <w:rsid w:val="00316B96"/>
    <w:rsid w:val="00317FB4"/>
    <w:rsid w:val="003209B1"/>
    <w:rsid w:val="00321A04"/>
    <w:rsid w:val="00321DF4"/>
    <w:rsid w:val="00321DFE"/>
    <w:rsid w:val="00321EDF"/>
    <w:rsid w:val="00323185"/>
    <w:rsid w:val="00325684"/>
    <w:rsid w:val="00326402"/>
    <w:rsid w:val="00326BF2"/>
    <w:rsid w:val="00326FB9"/>
    <w:rsid w:val="00327065"/>
    <w:rsid w:val="00327DEF"/>
    <w:rsid w:val="00327EE5"/>
    <w:rsid w:val="00332D0B"/>
    <w:rsid w:val="00332E0A"/>
    <w:rsid w:val="003336BF"/>
    <w:rsid w:val="00333AF4"/>
    <w:rsid w:val="003350D5"/>
    <w:rsid w:val="003352E1"/>
    <w:rsid w:val="003362A4"/>
    <w:rsid w:val="00336F09"/>
    <w:rsid w:val="00336F27"/>
    <w:rsid w:val="00337573"/>
    <w:rsid w:val="00337596"/>
    <w:rsid w:val="00337AE2"/>
    <w:rsid w:val="00341F3D"/>
    <w:rsid w:val="00342552"/>
    <w:rsid w:val="00343250"/>
    <w:rsid w:val="003434D5"/>
    <w:rsid w:val="00344337"/>
    <w:rsid w:val="0034455A"/>
    <w:rsid w:val="0034489A"/>
    <w:rsid w:val="003451AA"/>
    <w:rsid w:val="00345AA6"/>
    <w:rsid w:val="0034657B"/>
    <w:rsid w:val="0035076D"/>
    <w:rsid w:val="003516EC"/>
    <w:rsid w:val="0035374B"/>
    <w:rsid w:val="003538F0"/>
    <w:rsid w:val="00353921"/>
    <w:rsid w:val="00356349"/>
    <w:rsid w:val="00356747"/>
    <w:rsid w:val="00357A94"/>
    <w:rsid w:val="003604D3"/>
    <w:rsid w:val="00362343"/>
    <w:rsid w:val="00362FEC"/>
    <w:rsid w:val="003630BC"/>
    <w:rsid w:val="00363469"/>
    <w:rsid w:val="00364122"/>
    <w:rsid w:val="00364461"/>
    <w:rsid w:val="0036463C"/>
    <w:rsid w:val="00365710"/>
    <w:rsid w:val="00371218"/>
    <w:rsid w:val="00371F85"/>
    <w:rsid w:val="00372795"/>
    <w:rsid w:val="003731A8"/>
    <w:rsid w:val="00373342"/>
    <w:rsid w:val="00374B52"/>
    <w:rsid w:val="00380D95"/>
    <w:rsid w:val="00381D2C"/>
    <w:rsid w:val="00382495"/>
    <w:rsid w:val="00382C7E"/>
    <w:rsid w:val="00382E42"/>
    <w:rsid w:val="003836C8"/>
    <w:rsid w:val="00383C89"/>
    <w:rsid w:val="0038528E"/>
    <w:rsid w:val="003863C3"/>
    <w:rsid w:val="00386B5C"/>
    <w:rsid w:val="00387B6F"/>
    <w:rsid w:val="0039097C"/>
    <w:rsid w:val="003912F3"/>
    <w:rsid w:val="00391911"/>
    <w:rsid w:val="00391F62"/>
    <w:rsid w:val="00392203"/>
    <w:rsid w:val="00392CCF"/>
    <w:rsid w:val="0039327B"/>
    <w:rsid w:val="003932D8"/>
    <w:rsid w:val="003A0511"/>
    <w:rsid w:val="003A1349"/>
    <w:rsid w:val="003A19C5"/>
    <w:rsid w:val="003A4050"/>
    <w:rsid w:val="003A40BF"/>
    <w:rsid w:val="003A561A"/>
    <w:rsid w:val="003A7018"/>
    <w:rsid w:val="003A7AEF"/>
    <w:rsid w:val="003B1D4E"/>
    <w:rsid w:val="003B2044"/>
    <w:rsid w:val="003B2C46"/>
    <w:rsid w:val="003B2CD5"/>
    <w:rsid w:val="003B4603"/>
    <w:rsid w:val="003B48F3"/>
    <w:rsid w:val="003B4A1A"/>
    <w:rsid w:val="003B5001"/>
    <w:rsid w:val="003B5909"/>
    <w:rsid w:val="003B69F0"/>
    <w:rsid w:val="003B6CF5"/>
    <w:rsid w:val="003B6EB1"/>
    <w:rsid w:val="003B6ED9"/>
    <w:rsid w:val="003B770D"/>
    <w:rsid w:val="003B7E84"/>
    <w:rsid w:val="003C1353"/>
    <w:rsid w:val="003C227D"/>
    <w:rsid w:val="003C2894"/>
    <w:rsid w:val="003C303A"/>
    <w:rsid w:val="003C3DE0"/>
    <w:rsid w:val="003C41B5"/>
    <w:rsid w:val="003C4634"/>
    <w:rsid w:val="003C4ADB"/>
    <w:rsid w:val="003C510B"/>
    <w:rsid w:val="003C5682"/>
    <w:rsid w:val="003C6DD1"/>
    <w:rsid w:val="003C7693"/>
    <w:rsid w:val="003C7846"/>
    <w:rsid w:val="003D0BE9"/>
    <w:rsid w:val="003D23D3"/>
    <w:rsid w:val="003D23F1"/>
    <w:rsid w:val="003D3DAD"/>
    <w:rsid w:val="003D4AC4"/>
    <w:rsid w:val="003D4EA5"/>
    <w:rsid w:val="003D72D6"/>
    <w:rsid w:val="003D7AEA"/>
    <w:rsid w:val="003E06BC"/>
    <w:rsid w:val="003E0769"/>
    <w:rsid w:val="003E1D38"/>
    <w:rsid w:val="003E26EC"/>
    <w:rsid w:val="003E50E5"/>
    <w:rsid w:val="003E630F"/>
    <w:rsid w:val="003E69AF"/>
    <w:rsid w:val="003E6BCD"/>
    <w:rsid w:val="003E73A1"/>
    <w:rsid w:val="003E743F"/>
    <w:rsid w:val="003E7BB4"/>
    <w:rsid w:val="003F08E0"/>
    <w:rsid w:val="003F0B7D"/>
    <w:rsid w:val="003F0BB6"/>
    <w:rsid w:val="003F0E3A"/>
    <w:rsid w:val="003F1FB3"/>
    <w:rsid w:val="003F6679"/>
    <w:rsid w:val="003F6C52"/>
    <w:rsid w:val="003F76EC"/>
    <w:rsid w:val="004007A8"/>
    <w:rsid w:val="00400B52"/>
    <w:rsid w:val="00403A05"/>
    <w:rsid w:val="00403D73"/>
    <w:rsid w:val="00404CE9"/>
    <w:rsid w:val="004059EA"/>
    <w:rsid w:val="004103B7"/>
    <w:rsid w:val="00411115"/>
    <w:rsid w:val="004118F8"/>
    <w:rsid w:val="00411C7F"/>
    <w:rsid w:val="00411E3B"/>
    <w:rsid w:val="004139FD"/>
    <w:rsid w:val="004148B2"/>
    <w:rsid w:val="004163D6"/>
    <w:rsid w:val="0041664A"/>
    <w:rsid w:val="004179BE"/>
    <w:rsid w:val="00417E1C"/>
    <w:rsid w:val="00420B73"/>
    <w:rsid w:val="00421DDE"/>
    <w:rsid w:val="00422053"/>
    <w:rsid w:val="00422260"/>
    <w:rsid w:val="00423198"/>
    <w:rsid w:val="0042366F"/>
    <w:rsid w:val="004237F7"/>
    <w:rsid w:val="00423D46"/>
    <w:rsid w:val="0042467F"/>
    <w:rsid w:val="00424A37"/>
    <w:rsid w:val="00425E09"/>
    <w:rsid w:val="00426E51"/>
    <w:rsid w:val="00427095"/>
    <w:rsid w:val="00431472"/>
    <w:rsid w:val="00431E83"/>
    <w:rsid w:val="00432D85"/>
    <w:rsid w:val="00434766"/>
    <w:rsid w:val="0043480B"/>
    <w:rsid w:val="004348F2"/>
    <w:rsid w:val="00434EB2"/>
    <w:rsid w:val="004359D4"/>
    <w:rsid w:val="00436424"/>
    <w:rsid w:val="00436AFE"/>
    <w:rsid w:val="00442303"/>
    <w:rsid w:val="00442491"/>
    <w:rsid w:val="00442BF0"/>
    <w:rsid w:val="004433CF"/>
    <w:rsid w:val="004468BF"/>
    <w:rsid w:val="00447B38"/>
    <w:rsid w:val="00450A5D"/>
    <w:rsid w:val="004511F5"/>
    <w:rsid w:val="00451280"/>
    <w:rsid w:val="004513BF"/>
    <w:rsid w:val="00451674"/>
    <w:rsid w:val="00452F84"/>
    <w:rsid w:val="00453BBA"/>
    <w:rsid w:val="00453CBD"/>
    <w:rsid w:val="00453DDD"/>
    <w:rsid w:val="00453F3C"/>
    <w:rsid w:val="00457858"/>
    <w:rsid w:val="004609F8"/>
    <w:rsid w:val="004631EC"/>
    <w:rsid w:val="0046339B"/>
    <w:rsid w:val="00463987"/>
    <w:rsid w:val="00463AA2"/>
    <w:rsid w:val="0046420A"/>
    <w:rsid w:val="0046571D"/>
    <w:rsid w:val="00466033"/>
    <w:rsid w:val="00470B88"/>
    <w:rsid w:val="00470D89"/>
    <w:rsid w:val="0047332F"/>
    <w:rsid w:val="00473E34"/>
    <w:rsid w:val="00474010"/>
    <w:rsid w:val="00474BC9"/>
    <w:rsid w:val="00474F40"/>
    <w:rsid w:val="004767F3"/>
    <w:rsid w:val="00476CED"/>
    <w:rsid w:val="00476D63"/>
    <w:rsid w:val="0047742D"/>
    <w:rsid w:val="00477B96"/>
    <w:rsid w:val="00477D98"/>
    <w:rsid w:val="00481292"/>
    <w:rsid w:val="00481F13"/>
    <w:rsid w:val="004834FB"/>
    <w:rsid w:val="00483999"/>
    <w:rsid w:val="00483D79"/>
    <w:rsid w:val="00484D45"/>
    <w:rsid w:val="004858DB"/>
    <w:rsid w:val="00486C54"/>
    <w:rsid w:val="00486F50"/>
    <w:rsid w:val="00490EC0"/>
    <w:rsid w:val="00491381"/>
    <w:rsid w:val="004966A5"/>
    <w:rsid w:val="00496C50"/>
    <w:rsid w:val="004A0F4E"/>
    <w:rsid w:val="004A134E"/>
    <w:rsid w:val="004A4C87"/>
    <w:rsid w:val="004A5F2B"/>
    <w:rsid w:val="004A643C"/>
    <w:rsid w:val="004A6471"/>
    <w:rsid w:val="004B0B72"/>
    <w:rsid w:val="004B1E71"/>
    <w:rsid w:val="004B28D7"/>
    <w:rsid w:val="004B35C0"/>
    <w:rsid w:val="004B368F"/>
    <w:rsid w:val="004B3B8A"/>
    <w:rsid w:val="004B4A84"/>
    <w:rsid w:val="004B585D"/>
    <w:rsid w:val="004B64E1"/>
    <w:rsid w:val="004B67C7"/>
    <w:rsid w:val="004B6FCE"/>
    <w:rsid w:val="004B7A59"/>
    <w:rsid w:val="004C19FB"/>
    <w:rsid w:val="004C42E5"/>
    <w:rsid w:val="004C6C13"/>
    <w:rsid w:val="004C7274"/>
    <w:rsid w:val="004D0723"/>
    <w:rsid w:val="004D1008"/>
    <w:rsid w:val="004D1FFF"/>
    <w:rsid w:val="004D29D1"/>
    <w:rsid w:val="004D30C3"/>
    <w:rsid w:val="004D387E"/>
    <w:rsid w:val="004D6B5F"/>
    <w:rsid w:val="004D79B4"/>
    <w:rsid w:val="004E0D9B"/>
    <w:rsid w:val="004E1625"/>
    <w:rsid w:val="004E1928"/>
    <w:rsid w:val="004E1D0C"/>
    <w:rsid w:val="004E4E55"/>
    <w:rsid w:val="004E58C1"/>
    <w:rsid w:val="004E60B9"/>
    <w:rsid w:val="004E7541"/>
    <w:rsid w:val="004F269C"/>
    <w:rsid w:val="004F3EE2"/>
    <w:rsid w:val="004F3FEC"/>
    <w:rsid w:val="004F52CA"/>
    <w:rsid w:val="004F6209"/>
    <w:rsid w:val="004F628A"/>
    <w:rsid w:val="004F6CE0"/>
    <w:rsid w:val="004F6DA9"/>
    <w:rsid w:val="004F72A0"/>
    <w:rsid w:val="0050074B"/>
    <w:rsid w:val="00500A77"/>
    <w:rsid w:val="00500D34"/>
    <w:rsid w:val="00501168"/>
    <w:rsid w:val="00502BE0"/>
    <w:rsid w:val="005031D8"/>
    <w:rsid w:val="00503A98"/>
    <w:rsid w:val="005045C5"/>
    <w:rsid w:val="00504D4E"/>
    <w:rsid w:val="0050559A"/>
    <w:rsid w:val="00505B84"/>
    <w:rsid w:val="00506EE9"/>
    <w:rsid w:val="00507947"/>
    <w:rsid w:val="00510142"/>
    <w:rsid w:val="0051089D"/>
    <w:rsid w:val="00510AD4"/>
    <w:rsid w:val="00513E31"/>
    <w:rsid w:val="0051500B"/>
    <w:rsid w:val="00517013"/>
    <w:rsid w:val="00517548"/>
    <w:rsid w:val="00517B9B"/>
    <w:rsid w:val="00520CED"/>
    <w:rsid w:val="00521194"/>
    <w:rsid w:val="00521B92"/>
    <w:rsid w:val="005224BF"/>
    <w:rsid w:val="00523558"/>
    <w:rsid w:val="00523666"/>
    <w:rsid w:val="00523CDB"/>
    <w:rsid w:val="00523FF6"/>
    <w:rsid w:val="00525D9F"/>
    <w:rsid w:val="00526362"/>
    <w:rsid w:val="005264B9"/>
    <w:rsid w:val="00526C42"/>
    <w:rsid w:val="00526E6D"/>
    <w:rsid w:val="005273DF"/>
    <w:rsid w:val="0053013C"/>
    <w:rsid w:val="0053160B"/>
    <w:rsid w:val="00532222"/>
    <w:rsid w:val="005327A2"/>
    <w:rsid w:val="005335F1"/>
    <w:rsid w:val="00533A80"/>
    <w:rsid w:val="005352F7"/>
    <w:rsid w:val="005353C1"/>
    <w:rsid w:val="00535C72"/>
    <w:rsid w:val="00536D51"/>
    <w:rsid w:val="00536F9A"/>
    <w:rsid w:val="00541B74"/>
    <w:rsid w:val="0054512B"/>
    <w:rsid w:val="005453CD"/>
    <w:rsid w:val="00546043"/>
    <w:rsid w:val="00546397"/>
    <w:rsid w:val="0054639B"/>
    <w:rsid w:val="005468C3"/>
    <w:rsid w:val="005470AB"/>
    <w:rsid w:val="005507DE"/>
    <w:rsid w:val="0055193C"/>
    <w:rsid w:val="00553749"/>
    <w:rsid w:val="00553A1E"/>
    <w:rsid w:val="00554291"/>
    <w:rsid w:val="00555B8F"/>
    <w:rsid w:val="00555CE3"/>
    <w:rsid w:val="005562A8"/>
    <w:rsid w:val="0055667D"/>
    <w:rsid w:val="00557123"/>
    <w:rsid w:val="005578C7"/>
    <w:rsid w:val="00557E80"/>
    <w:rsid w:val="00561201"/>
    <w:rsid w:val="00562C57"/>
    <w:rsid w:val="00563681"/>
    <w:rsid w:val="00565341"/>
    <w:rsid w:val="00567B0C"/>
    <w:rsid w:val="00570971"/>
    <w:rsid w:val="00576190"/>
    <w:rsid w:val="00576840"/>
    <w:rsid w:val="00576C77"/>
    <w:rsid w:val="00577682"/>
    <w:rsid w:val="00577FD5"/>
    <w:rsid w:val="005819FE"/>
    <w:rsid w:val="00583480"/>
    <w:rsid w:val="00584C03"/>
    <w:rsid w:val="00584F97"/>
    <w:rsid w:val="00586EC7"/>
    <w:rsid w:val="0058715B"/>
    <w:rsid w:val="0058728C"/>
    <w:rsid w:val="00587F97"/>
    <w:rsid w:val="00590298"/>
    <w:rsid w:val="005907BC"/>
    <w:rsid w:val="005925FA"/>
    <w:rsid w:val="0059271B"/>
    <w:rsid w:val="00592A89"/>
    <w:rsid w:val="00592FBC"/>
    <w:rsid w:val="00595ED9"/>
    <w:rsid w:val="00597496"/>
    <w:rsid w:val="005A0382"/>
    <w:rsid w:val="005A03E8"/>
    <w:rsid w:val="005A1421"/>
    <w:rsid w:val="005A1AE4"/>
    <w:rsid w:val="005A3118"/>
    <w:rsid w:val="005A324F"/>
    <w:rsid w:val="005A350B"/>
    <w:rsid w:val="005A3A07"/>
    <w:rsid w:val="005A5990"/>
    <w:rsid w:val="005A5A1C"/>
    <w:rsid w:val="005A6C3F"/>
    <w:rsid w:val="005B05CE"/>
    <w:rsid w:val="005B0A77"/>
    <w:rsid w:val="005B28EA"/>
    <w:rsid w:val="005B456F"/>
    <w:rsid w:val="005B465F"/>
    <w:rsid w:val="005B5F68"/>
    <w:rsid w:val="005B67CB"/>
    <w:rsid w:val="005B69F3"/>
    <w:rsid w:val="005B6F72"/>
    <w:rsid w:val="005B7BFF"/>
    <w:rsid w:val="005C19E2"/>
    <w:rsid w:val="005C1FB5"/>
    <w:rsid w:val="005C2E66"/>
    <w:rsid w:val="005C3BAA"/>
    <w:rsid w:val="005C4584"/>
    <w:rsid w:val="005C4650"/>
    <w:rsid w:val="005C4F17"/>
    <w:rsid w:val="005C54B4"/>
    <w:rsid w:val="005C661A"/>
    <w:rsid w:val="005C7257"/>
    <w:rsid w:val="005C7EAA"/>
    <w:rsid w:val="005D3F47"/>
    <w:rsid w:val="005D681C"/>
    <w:rsid w:val="005D7027"/>
    <w:rsid w:val="005D7A2E"/>
    <w:rsid w:val="005E3D3A"/>
    <w:rsid w:val="005E73F7"/>
    <w:rsid w:val="005E76DD"/>
    <w:rsid w:val="005E7BD9"/>
    <w:rsid w:val="005E7F90"/>
    <w:rsid w:val="005E7FD5"/>
    <w:rsid w:val="005F2F3C"/>
    <w:rsid w:val="005F4CBE"/>
    <w:rsid w:val="005F5F19"/>
    <w:rsid w:val="005F6224"/>
    <w:rsid w:val="005F6596"/>
    <w:rsid w:val="005F7C3A"/>
    <w:rsid w:val="00600D08"/>
    <w:rsid w:val="00600DE1"/>
    <w:rsid w:val="006016C0"/>
    <w:rsid w:val="00602F0E"/>
    <w:rsid w:val="0060308F"/>
    <w:rsid w:val="00604F46"/>
    <w:rsid w:val="00605E75"/>
    <w:rsid w:val="00606DC0"/>
    <w:rsid w:val="006071D2"/>
    <w:rsid w:val="00607F7C"/>
    <w:rsid w:val="00610ED3"/>
    <w:rsid w:val="00611B6F"/>
    <w:rsid w:val="006124A7"/>
    <w:rsid w:val="00613A27"/>
    <w:rsid w:val="006149CD"/>
    <w:rsid w:val="00614D41"/>
    <w:rsid w:val="006162EE"/>
    <w:rsid w:val="006209B5"/>
    <w:rsid w:val="006213D1"/>
    <w:rsid w:val="00621C10"/>
    <w:rsid w:val="006238FE"/>
    <w:rsid w:val="00624858"/>
    <w:rsid w:val="006265ED"/>
    <w:rsid w:val="00630AA8"/>
    <w:rsid w:val="00632978"/>
    <w:rsid w:val="00632B9D"/>
    <w:rsid w:val="00632D9B"/>
    <w:rsid w:val="00633F93"/>
    <w:rsid w:val="0063546C"/>
    <w:rsid w:val="00635C6F"/>
    <w:rsid w:val="0063670B"/>
    <w:rsid w:val="00636B52"/>
    <w:rsid w:val="00636D40"/>
    <w:rsid w:val="00637DB5"/>
    <w:rsid w:val="00641A57"/>
    <w:rsid w:val="00642167"/>
    <w:rsid w:val="00642419"/>
    <w:rsid w:val="00642BD0"/>
    <w:rsid w:val="00644225"/>
    <w:rsid w:val="0064458E"/>
    <w:rsid w:val="006448D0"/>
    <w:rsid w:val="00645CCB"/>
    <w:rsid w:val="00647EC8"/>
    <w:rsid w:val="006528D8"/>
    <w:rsid w:val="00652D33"/>
    <w:rsid w:val="00653203"/>
    <w:rsid w:val="00653C23"/>
    <w:rsid w:val="00653F2E"/>
    <w:rsid w:val="00654096"/>
    <w:rsid w:val="006555D3"/>
    <w:rsid w:val="00656F3B"/>
    <w:rsid w:val="00660EDE"/>
    <w:rsid w:val="006610DF"/>
    <w:rsid w:val="00662700"/>
    <w:rsid w:val="0066279E"/>
    <w:rsid w:val="00662C26"/>
    <w:rsid w:val="00662EAF"/>
    <w:rsid w:val="00663B07"/>
    <w:rsid w:val="00665040"/>
    <w:rsid w:val="00665665"/>
    <w:rsid w:val="006717D0"/>
    <w:rsid w:val="00671B08"/>
    <w:rsid w:val="0067387D"/>
    <w:rsid w:val="00674761"/>
    <w:rsid w:val="00674B32"/>
    <w:rsid w:val="00675068"/>
    <w:rsid w:val="006750C8"/>
    <w:rsid w:val="00675328"/>
    <w:rsid w:val="0067547A"/>
    <w:rsid w:val="00676890"/>
    <w:rsid w:val="00677427"/>
    <w:rsid w:val="00677AFD"/>
    <w:rsid w:val="00680EDD"/>
    <w:rsid w:val="00681964"/>
    <w:rsid w:val="00681E96"/>
    <w:rsid w:val="00684183"/>
    <w:rsid w:val="006841A4"/>
    <w:rsid w:val="006842CC"/>
    <w:rsid w:val="00684498"/>
    <w:rsid w:val="00684B57"/>
    <w:rsid w:val="00685246"/>
    <w:rsid w:val="00686321"/>
    <w:rsid w:val="00687063"/>
    <w:rsid w:val="00687587"/>
    <w:rsid w:val="00691D5E"/>
    <w:rsid w:val="006920E5"/>
    <w:rsid w:val="00692B8F"/>
    <w:rsid w:val="0069460D"/>
    <w:rsid w:val="00694DC3"/>
    <w:rsid w:val="00697774"/>
    <w:rsid w:val="006A158A"/>
    <w:rsid w:val="006A1A64"/>
    <w:rsid w:val="006A3A0E"/>
    <w:rsid w:val="006A43CF"/>
    <w:rsid w:val="006A587A"/>
    <w:rsid w:val="006A6BBF"/>
    <w:rsid w:val="006A6C49"/>
    <w:rsid w:val="006A781A"/>
    <w:rsid w:val="006A7ADB"/>
    <w:rsid w:val="006B1A60"/>
    <w:rsid w:val="006B2E43"/>
    <w:rsid w:val="006B3296"/>
    <w:rsid w:val="006B3559"/>
    <w:rsid w:val="006B3A3C"/>
    <w:rsid w:val="006B4DAB"/>
    <w:rsid w:val="006B6182"/>
    <w:rsid w:val="006B64CF"/>
    <w:rsid w:val="006B6AE6"/>
    <w:rsid w:val="006B7982"/>
    <w:rsid w:val="006C0EB0"/>
    <w:rsid w:val="006C124C"/>
    <w:rsid w:val="006C1620"/>
    <w:rsid w:val="006C1A05"/>
    <w:rsid w:val="006C1D96"/>
    <w:rsid w:val="006C1DF3"/>
    <w:rsid w:val="006C2323"/>
    <w:rsid w:val="006C3135"/>
    <w:rsid w:val="006C4447"/>
    <w:rsid w:val="006C48DB"/>
    <w:rsid w:val="006C6190"/>
    <w:rsid w:val="006C64CA"/>
    <w:rsid w:val="006C66A2"/>
    <w:rsid w:val="006C7875"/>
    <w:rsid w:val="006D076D"/>
    <w:rsid w:val="006D07A8"/>
    <w:rsid w:val="006D17BB"/>
    <w:rsid w:val="006D1BCE"/>
    <w:rsid w:val="006D2E09"/>
    <w:rsid w:val="006D460A"/>
    <w:rsid w:val="006D537C"/>
    <w:rsid w:val="006D5D24"/>
    <w:rsid w:val="006D7F00"/>
    <w:rsid w:val="006E0652"/>
    <w:rsid w:val="006E21B3"/>
    <w:rsid w:val="006E22AE"/>
    <w:rsid w:val="006E2A05"/>
    <w:rsid w:val="006E3B1F"/>
    <w:rsid w:val="006E3CE8"/>
    <w:rsid w:val="006E4F1F"/>
    <w:rsid w:val="006E5014"/>
    <w:rsid w:val="006E619D"/>
    <w:rsid w:val="006E66DA"/>
    <w:rsid w:val="006E72B2"/>
    <w:rsid w:val="006F151A"/>
    <w:rsid w:val="006F26B4"/>
    <w:rsid w:val="006F2B8B"/>
    <w:rsid w:val="006F3C08"/>
    <w:rsid w:val="006F608D"/>
    <w:rsid w:val="006F60B9"/>
    <w:rsid w:val="00700FDE"/>
    <w:rsid w:val="00701110"/>
    <w:rsid w:val="007021DA"/>
    <w:rsid w:val="007041C1"/>
    <w:rsid w:val="00704DA5"/>
    <w:rsid w:val="00705C00"/>
    <w:rsid w:val="00705D30"/>
    <w:rsid w:val="007062C0"/>
    <w:rsid w:val="007064F4"/>
    <w:rsid w:val="0070692F"/>
    <w:rsid w:val="00707D64"/>
    <w:rsid w:val="0071052D"/>
    <w:rsid w:val="00710E5B"/>
    <w:rsid w:val="00711971"/>
    <w:rsid w:val="00713CE4"/>
    <w:rsid w:val="00714469"/>
    <w:rsid w:val="00714A47"/>
    <w:rsid w:val="0071580B"/>
    <w:rsid w:val="00715C38"/>
    <w:rsid w:val="00715CE2"/>
    <w:rsid w:val="00716DBB"/>
    <w:rsid w:val="00717BBB"/>
    <w:rsid w:val="007200BA"/>
    <w:rsid w:val="00720923"/>
    <w:rsid w:val="00720D71"/>
    <w:rsid w:val="0072123C"/>
    <w:rsid w:val="00721A81"/>
    <w:rsid w:val="00722FD5"/>
    <w:rsid w:val="007235A5"/>
    <w:rsid w:val="0072372D"/>
    <w:rsid w:val="00724DE9"/>
    <w:rsid w:val="00725C48"/>
    <w:rsid w:val="0072698E"/>
    <w:rsid w:val="00727138"/>
    <w:rsid w:val="00730739"/>
    <w:rsid w:val="00731385"/>
    <w:rsid w:val="00732099"/>
    <w:rsid w:val="00732A65"/>
    <w:rsid w:val="00733FD0"/>
    <w:rsid w:val="00736728"/>
    <w:rsid w:val="0073733D"/>
    <w:rsid w:val="00737CD1"/>
    <w:rsid w:val="00740369"/>
    <w:rsid w:val="00740C2D"/>
    <w:rsid w:val="00740DEE"/>
    <w:rsid w:val="00741D98"/>
    <w:rsid w:val="00741E3B"/>
    <w:rsid w:val="00742490"/>
    <w:rsid w:val="007430AA"/>
    <w:rsid w:val="00744A66"/>
    <w:rsid w:val="00745DBA"/>
    <w:rsid w:val="00745F21"/>
    <w:rsid w:val="00746F54"/>
    <w:rsid w:val="0074730E"/>
    <w:rsid w:val="00747522"/>
    <w:rsid w:val="00747641"/>
    <w:rsid w:val="00747CD3"/>
    <w:rsid w:val="0075011A"/>
    <w:rsid w:val="00750440"/>
    <w:rsid w:val="00750BFC"/>
    <w:rsid w:val="007513F9"/>
    <w:rsid w:val="007515EB"/>
    <w:rsid w:val="00754402"/>
    <w:rsid w:val="00756521"/>
    <w:rsid w:val="00756668"/>
    <w:rsid w:val="007568E3"/>
    <w:rsid w:val="00756CDD"/>
    <w:rsid w:val="00760A84"/>
    <w:rsid w:val="007619C1"/>
    <w:rsid w:val="00762188"/>
    <w:rsid w:val="007622F6"/>
    <w:rsid w:val="00762F1D"/>
    <w:rsid w:val="00763519"/>
    <w:rsid w:val="00763CF7"/>
    <w:rsid w:val="00765DBE"/>
    <w:rsid w:val="007679BE"/>
    <w:rsid w:val="00767B05"/>
    <w:rsid w:val="00770DB5"/>
    <w:rsid w:val="007716BD"/>
    <w:rsid w:val="00771D1D"/>
    <w:rsid w:val="00773573"/>
    <w:rsid w:val="00773B82"/>
    <w:rsid w:val="007740E0"/>
    <w:rsid w:val="00774AA2"/>
    <w:rsid w:val="00774AEA"/>
    <w:rsid w:val="007751AF"/>
    <w:rsid w:val="007752D6"/>
    <w:rsid w:val="0077568C"/>
    <w:rsid w:val="007756BC"/>
    <w:rsid w:val="00776442"/>
    <w:rsid w:val="00776EBF"/>
    <w:rsid w:val="00777000"/>
    <w:rsid w:val="00777828"/>
    <w:rsid w:val="007806B6"/>
    <w:rsid w:val="0078210F"/>
    <w:rsid w:val="007833D1"/>
    <w:rsid w:val="00783581"/>
    <w:rsid w:val="00784EB2"/>
    <w:rsid w:val="007851A2"/>
    <w:rsid w:val="0078668E"/>
    <w:rsid w:val="0078756A"/>
    <w:rsid w:val="0079092C"/>
    <w:rsid w:val="00790973"/>
    <w:rsid w:val="00790CAE"/>
    <w:rsid w:val="00791A91"/>
    <w:rsid w:val="00791B68"/>
    <w:rsid w:val="00792676"/>
    <w:rsid w:val="00793488"/>
    <w:rsid w:val="007934E1"/>
    <w:rsid w:val="007940AB"/>
    <w:rsid w:val="00794B2F"/>
    <w:rsid w:val="007954E1"/>
    <w:rsid w:val="00795BB6"/>
    <w:rsid w:val="007A1CEB"/>
    <w:rsid w:val="007A25D3"/>
    <w:rsid w:val="007A3AFA"/>
    <w:rsid w:val="007A53CB"/>
    <w:rsid w:val="007A61FC"/>
    <w:rsid w:val="007A716A"/>
    <w:rsid w:val="007B019A"/>
    <w:rsid w:val="007B025E"/>
    <w:rsid w:val="007B12ED"/>
    <w:rsid w:val="007B1547"/>
    <w:rsid w:val="007B399C"/>
    <w:rsid w:val="007B41C4"/>
    <w:rsid w:val="007B4DDD"/>
    <w:rsid w:val="007B4ED3"/>
    <w:rsid w:val="007B5DC7"/>
    <w:rsid w:val="007B656A"/>
    <w:rsid w:val="007B7F1F"/>
    <w:rsid w:val="007B7FDF"/>
    <w:rsid w:val="007C02B9"/>
    <w:rsid w:val="007C0E65"/>
    <w:rsid w:val="007C126D"/>
    <w:rsid w:val="007C1C03"/>
    <w:rsid w:val="007C378A"/>
    <w:rsid w:val="007C3F02"/>
    <w:rsid w:val="007C4276"/>
    <w:rsid w:val="007C4AF4"/>
    <w:rsid w:val="007C4EBD"/>
    <w:rsid w:val="007C6052"/>
    <w:rsid w:val="007C658B"/>
    <w:rsid w:val="007C7ADF"/>
    <w:rsid w:val="007D0F11"/>
    <w:rsid w:val="007D0FDE"/>
    <w:rsid w:val="007D13B2"/>
    <w:rsid w:val="007D1F7E"/>
    <w:rsid w:val="007D24FD"/>
    <w:rsid w:val="007D37C7"/>
    <w:rsid w:val="007D5962"/>
    <w:rsid w:val="007D7D79"/>
    <w:rsid w:val="007E06DE"/>
    <w:rsid w:val="007E1A4B"/>
    <w:rsid w:val="007E2D8B"/>
    <w:rsid w:val="007E304B"/>
    <w:rsid w:val="007E4061"/>
    <w:rsid w:val="007E682D"/>
    <w:rsid w:val="007E690B"/>
    <w:rsid w:val="007E6B30"/>
    <w:rsid w:val="007E7387"/>
    <w:rsid w:val="007E73A8"/>
    <w:rsid w:val="007F0F95"/>
    <w:rsid w:val="007F17E5"/>
    <w:rsid w:val="007F210C"/>
    <w:rsid w:val="007F3E91"/>
    <w:rsid w:val="007F417E"/>
    <w:rsid w:val="007F4695"/>
    <w:rsid w:val="007F509F"/>
    <w:rsid w:val="007F51E1"/>
    <w:rsid w:val="007F52CD"/>
    <w:rsid w:val="007F5BDC"/>
    <w:rsid w:val="007F5D8D"/>
    <w:rsid w:val="00800CAE"/>
    <w:rsid w:val="0080281D"/>
    <w:rsid w:val="0080319A"/>
    <w:rsid w:val="008049C3"/>
    <w:rsid w:val="00804E79"/>
    <w:rsid w:val="00805A9B"/>
    <w:rsid w:val="0080698B"/>
    <w:rsid w:val="00806A52"/>
    <w:rsid w:val="00807E6C"/>
    <w:rsid w:val="008106FC"/>
    <w:rsid w:val="0081140D"/>
    <w:rsid w:val="008114DA"/>
    <w:rsid w:val="00812E1D"/>
    <w:rsid w:val="00813EF0"/>
    <w:rsid w:val="008142B1"/>
    <w:rsid w:val="0081575F"/>
    <w:rsid w:val="008177ED"/>
    <w:rsid w:val="00817A00"/>
    <w:rsid w:val="00820581"/>
    <w:rsid w:val="00820695"/>
    <w:rsid w:val="00821EA3"/>
    <w:rsid w:val="00823C43"/>
    <w:rsid w:val="008240EB"/>
    <w:rsid w:val="00824A55"/>
    <w:rsid w:val="00825239"/>
    <w:rsid w:val="0082561B"/>
    <w:rsid w:val="008264F7"/>
    <w:rsid w:val="00826E23"/>
    <w:rsid w:val="00827414"/>
    <w:rsid w:val="00830766"/>
    <w:rsid w:val="008318E8"/>
    <w:rsid w:val="00834990"/>
    <w:rsid w:val="00835A35"/>
    <w:rsid w:val="00836836"/>
    <w:rsid w:val="00837003"/>
    <w:rsid w:val="00837257"/>
    <w:rsid w:val="00841505"/>
    <w:rsid w:val="00841DC8"/>
    <w:rsid w:val="008435C9"/>
    <w:rsid w:val="0084521B"/>
    <w:rsid w:val="00845665"/>
    <w:rsid w:val="0085014A"/>
    <w:rsid w:val="00850175"/>
    <w:rsid w:val="00850ECB"/>
    <w:rsid w:val="00853D90"/>
    <w:rsid w:val="008551B6"/>
    <w:rsid w:val="00855BDF"/>
    <w:rsid w:val="0085638B"/>
    <w:rsid w:val="00857CAA"/>
    <w:rsid w:val="0086018B"/>
    <w:rsid w:val="00860E7D"/>
    <w:rsid w:val="00861487"/>
    <w:rsid w:val="00861BBA"/>
    <w:rsid w:val="008625DC"/>
    <w:rsid w:val="008629C4"/>
    <w:rsid w:val="00862BFD"/>
    <w:rsid w:val="00862CC8"/>
    <w:rsid w:val="00864A4C"/>
    <w:rsid w:val="0086791F"/>
    <w:rsid w:val="00870BC3"/>
    <w:rsid w:val="0087279F"/>
    <w:rsid w:val="0087336B"/>
    <w:rsid w:val="008735E2"/>
    <w:rsid w:val="008744AF"/>
    <w:rsid w:val="00874825"/>
    <w:rsid w:val="008749BD"/>
    <w:rsid w:val="00875AEA"/>
    <w:rsid w:val="008774E7"/>
    <w:rsid w:val="008800FA"/>
    <w:rsid w:val="00881580"/>
    <w:rsid w:val="008826F7"/>
    <w:rsid w:val="0088499C"/>
    <w:rsid w:val="00884D56"/>
    <w:rsid w:val="00884DE4"/>
    <w:rsid w:val="00885B9D"/>
    <w:rsid w:val="00885C8C"/>
    <w:rsid w:val="008860AA"/>
    <w:rsid w:val="00886122"/>
    <w:rsid w:val="0088620A"/>
    <w:rsid w:val="00887F44"/>
    <w:rsid w:val="00891488"/>
    <w:rsid w:val="00891CD8"/>
    <w:rsid w:val="00892537"/>
    <w:rsid w:val="00892A65"/>
    <w:rsid w:val="0089460E"/>
    <w:rsid w:val="00894689"/>
    <w:rsid w:val="008A040F"/>
    <w:rsid w:val="008A0442"/>
    <w:rsid w:val="008A0FBF"/>
    <w:rsid w:val="008A1AFF"/>
    <w:rsid w:val="008A40DD"/>
    <w:rsid w:val="008A417C"/>
    <w:rsid w:val="008A451F"/>
    <w:rsid w:val="008A4A78"/>
    <w:rsid w:val="008A5DA0"/>
    <w:rsid w:val="008A78B9"/>
    <w:rsid w:val="008B09D4"/>
    <w:rsid w:val="008B0A86"/>
    <w:rsid w:val="008B170E"/>
    <w:rsid w:val="008B2002"/>
    <w:rsid w:val="008B3106"/>
    <w:rsid w:val="008B3825"/>
    <w:rsid w:val="008B38AF"/>
    <w:rsid w:val="008B3AC9"/>
    <w:rsid w:val="008B50CD"/>
    <w:rsid w:val="008B582C"/>
    <w:rsid w:val="008B5DB4"/>
    <w:rsid w:val="008B6343"/>
    <w:rsid w:val="008B6B26"/>
    <w:rsid w:val="008C2571"/>
    <w:rsid w:val="008C2729"/>
    <w:rsid w:val="008C3958"/>
    <w:rsid w:val="008C6DA3"/>
    <w:rsid w:val="008D0A16"/>
    <w:rsid w:val="008D0D75"/>
    <w:rsid w:val="008D1268"/>
    <w:rsid w:val="008D3D1A"/>
    <w:rsid w:val="008D45A2"/>
    <w:rsid w:val="008D5918"/>
    <w:rsid w:val="008D606D"/>
    <w:rsid w:val="008D6ECF"/>
    <w:rsid w:val="008E1361"/>
    <w:rsid w:val="008E2898"/>
    <w:rsid w:val="008E459E"/>
    <w:rsid w:val="008E657A"/>
    <w:rsid w:val="008E7229"/>
    <w:rsid w:val="008E7526"/>
    <w:rsid w:val="008F0703"/>
    <w:rsid w:val="008F1F50"/>
    <w:rsid w:val="008F24DA"/>
    <w:rsid w:val="008F290F"/>
    <w:rsid w:val="008F4847"/>
    <w:rsid w:val="008F64DE"/>
    <w:rsid w:val="008F76EA"/>
    <w:rsid w:val="008F7E1E"/>
    <w:rsid w:val="009003C0"/>
    <w:rsid w:val="0090107E"/>
    <w:rsid w:val="009011D6"/>
    <w:rsid w:val="009013BE"/>
    <w:rsid w:val="00903387"/>
    <w:rsid w:val="009035FE"/>
    <w:rsid w:val="00903C3A"/>
    <w:rsid w:val="009047CC"/>
    <w:rsid w:val="00905926"/>
    <w:rsid w:val="009069E4"/>
    <w:rsid w:val="0090758A"/>
    <w:rsid w:val="00907773"/>
    <w:rsid w:val="0091067E"/>
    <w:rsid w:val="009108E1"/>
    <w:rsid w:val="00911F07"/>
    <w:rsid w:val="009126A1"/>
    <w:rsid w:val="00912E62"/>
    <w:rsid w:val="00914AE7"/>
    <w:rsid w:val="00915104"/>
    <w:rsid w:val="00916776"/>
    <w:rsid w:val="00916C6E"/>
    <w:rsid w:val="00920DAE"/>
    <w:rsid w:val="00920E4F"/>
    <w:rsid w:val="00921BF5"/>
    <w:rsid w:val="00921E65"/>
    <w:rsid w:val="00924E68"/>
    <w:rsid w:val="009255AD"/>
    <w:rsid w:val="00925A78"/>
    <w:rsid w:val="00926815"/>
    <w:rsid w:val="00926B47"/>
    <w:rsid w:val="00927753"/>
    <w:rsid w:val="009302B4"/>
    <w:rsid w:val="0093074E"/>
    <w:rsid w:val="00930BA2"/>
    <w:rsid w:val="00931AC8"/>
    <w:rsid w:val="00933991"/>
    <w:rsid w:val="00935186"/>
    <w:rsid w:val="00942280"/>
    <w:rsid w:val="009428D4"/>
    <w:rsid w:val="00942DDF"/>
    <w:rsid w:val="00943A76"/>
    <w:rsid w:val="00944055"/>
    <w:rsid w:val="00944776"/>
    <w:rsid w:val="00945720"/>
    <w:rsid w:val="00947B7F"/>
    <w:rsid w:val="00947CF5"/>
    <w:rsid w:val="00947F71"/>
    <w:rsid w:val="00952256"/>
    <w:rsid w:val="00952416"/>
    <w:rsid w:val="009537AD"/>
    <w:rsid w:val="00953AA4"/>
    <w:rsid w:val="00954651"/>
    <w:rsid w:val="009560FB"/>
    <w:rsid w:val="0095612B"/>
    <w:rsid w:val="00956E41"/>
    <w:rsid w:val="00956E77"/>
    <w:rsid w:val="00956F85"/>
    <w:rsid w:val="00957960"/>
    <w:rsid w:val="00960498"/>
    <w:rsid w:val="00960E1D"/>
    <w:rsid w:val="00961053"/>
    <w:rsid w:val="00963190"/>
    <w:rsid w:val="00963311"/>
    <w:rsid w:val="00963E0D"/>
    <w:rsid w:val="009653C1"/>
    <w:rsid w:val="009653CC"/>
    <w:rsid w:val="009654A4"/>
    <w:rsid w:val="00965F60"/>
    <w:rsid w:val="0096706F"/>
    <w:rsid w:val="00967FED"/>
    <w:rsid w:val="0097178B"/>
    <w:rsid w:val="00971F52"/>
    <w:rsid w:val="0097303B"/>
    <w:rsid w:val="0097362D"/>
    <w:rsid w:val="009754B5"/>
    <w:rsid w:val="009773B0"/>
    <w:rsid w:val="009776CA"/>
    <w:rsid w:val="00977FBD"/>
    <w:rsid w:val="00981D6A"/>
    <w:rsid w:val="00982442"/>
    <w:rsid w:val="009825BC"/>
    <w:rsid w:val="00983AAA"/>
    <w:rsid w:val="00985B7D"/>
    <w:rsid w:val="0098672B"/>
    <w:rsid w:val="00986B80"/>
    <w:rsid w:val="00986BF3"/>
    <w:rsid w:val="0099032C"/>
    <w:rsid w:val="00990577"/>
    <w:rsid w:val="009909AC"/>
    <w:rsid w:val="00991088"/>
    <w:rsid w:val="0099122C"/>
    <w:rsid w:val="0099162E"/>
    <w:rsid w:val="00991C9E"/>
    <w:rsid w:val="009922EB"/>
    <w:rsid w:val="00992880"/>
    <w:rsid w:val="00992992"/>
    <w:rsid w:val="00993C66"/>
    <w:rsid w:val="00994158"/>
    <w:rsid w:val="00994CAB"/>
    <w:rsid w:val="009958B7"/>
    <w:rsid w:val="00995C1C"/>
    <w:rsid w:val="00995C6A"/>
    <w:rsid w:val="009962F6"/>
    <w:rsid w:val="009967FA"/>
    <w:rsid w:val="0099751E"/>
    <w:rsid w:val="009975D5"/>
    <w:rsid w:val="009A02B7"/>
    <w:rsid w:val="009A0C32"/>
    <w:rsid w:val="009A17C1"/>
    <w:rsid w:val="009A2E44"/>
    <w:rsid w:val="009A2E4D"/>
    <w:rsid w:val="009A2EDB"/>
    <w:rsid w:val="009A6931"/>
    <w:rsid w:val="009B05DC"/>
    <w:rsid w:val="009B140F"/>
    <w:rsid w:val="009B1973"/>
    <w:rsid w:val="009B27BD"/>
    <w:rsid w:val="009B3B28"/>
    <w:rsid w:val="009B3B4E"/>
    <w:rsid w:val="009B459A"/>
    <w:rsid w:val="009B59EA"/>
    <w:rsid w:val="009B5A81"/>
    <w:rsid w:val="009B5F4C"/>
    <w:rsid w:val="009B7BC0"/>
    <w:rsid w:val="009C1546"/>
    <w:rsid w:val="009C1D6B"/>
    <w:rsid w:val="009C2B4B"/>
    <w:rsid w:val="009C351B"/>
    <w:rsid w:val="009C3C08"/>
    <w:rsid w:val="009C4545"/>
    <w:rsid w:val="009C4FB6"/>
    <w:rsid w:val="009C5C67"/>
    <w:rsid w:val="009C7216"/>
    <w:rsid w:val="009C75D9"/>
    <w:rsid w:val="009C7FD8"/>
    <w:rsid w:val="009D2102"/>
    <w:rsid w:val="009D656A"/>
    <w:rsid w:val="009D6EF8"/>
    <w:rsid w:val="009D7166"/>
    <w:rsid w:val="009E034B"/>
    <w:rsid w:val="009E04F6"/>
    <w:rsid w:val="009E0913"/>
    <w:rsid w:val="009E0DD0"/>
    <w:rsid w:val="009E1624"/>
    <w:rsid w:val="009E1A81"/>
    <w:rsid w:val="009E3355"/>
    <w:rsid w:val="009E35BE"/>
    <w:rsid w:val="009E4BF1"/>
    <w:rsid w:val="009E4F9A"/>
    <w:rsid w:val="009E71FF"/>
    <w:rsid w:val="009E7325"/>
    <w:rsid w:val="009E79A9"/>
    <w:rsid w:val="009E7E5B"/>
    <w:rsid w:val="009F04B0"/>
    <w:rsid w:val="009F25B5"/>
    <w:rsid w:val="009F287B"/>
    <w:rsid w:val="009F2AFE"/>
    <w:rsid w:val="009F3927"/>
    <w:rsid w:val="009F44E1"/>
    <w:rsid w:val="009F4874"/>
    <w:rsid w:val="009F7032"/>
    <w:rsid w:val="00A00209"/>
    <w:rsid w:val="00A00B47"/>
    <w:rsid w:val="00A01A52"/>
    <w:rsid w:val="00A02589"/>
    <w:rsid w:val="00A03F23"/>
    <w:rsid w:val="00A0447C"/>
    <w:rsid w:val="00A05209"/>
    <w:rsid w:val="00A059C7"/>
    <w:rsid w:val="00A05AF9"/>
    <w:rsid w:val="00A06945"/>
    <w:rsid w:val="00A06F21"/>
    <w:rsid w:val="00A07154"/>
    <w:rsid w:val="00A0747E"/>
    <w:rsid w:val="00A07895"/>
    <w:rsid w:val="00A1083E"/>
    <w:rsid w:val="00A1210D"/>
    <w:rsid w:val="00A13086"/>
    <w:rsid w:val="00A1454A"/>
    <w:rsid w:val="00A14B42"/>
    <w:rsid w:val="00A156CF"/>
    <w:rsid w:val="00A158B0"/>
    <w:rsid w:val="00A15C41"/>
    <w:rsid w:val="00A16469"/>
    <w:rsid w:val="00A17E2A"/>
    <w:rsid w:val="00A21524"/>
    <w:rsid w:val="00A21969"/>
    <w:rsid w:val="00A228D9"/>
    <w:rsid w:val="00A236C9"/>
    <w:rsid w:val="00A24B26"/>
    <w:rsid w:val="00A25816"/>
    <w:rsid w:val="00A25B4C"/>
    <w:rsid w:val="00A2684B"/>
    <w:rsid w:val="00A26CA9"/>
    <w:rsid w:val="00A27514"/>
    <w:rsid w:val="00A307FD"/>
    <w:rsid w:val="00A309A3"/>
    <w:rsid w:val="00A311E4"/>
    <w:rsid w:val="00A31EEA"/>
    <w:rsid w:val="00A31F51"/>
    <w:rsid w:val="00A32549"/>
    <w:rsid w:val="00A33050"/>
    <w:rsid w:val="00A34A68"/>
    <w:rsid w:val="00A35316"/>
    <w:rsid w:val="00A36BA6"/>
    <w:rsid w:val="00A3715A"/>
    <w:rsid w:val="00A37A33"/>
    <w:rsid w:val="00A37C67"/>
    <w:rsid w:val="00A4020D"/>
    <w:rsid w:val="00A415B4"/>
    <w:rsid w:val="00A41917"/>
    <w:rsid w:val="00A42C3E"/>
    <w:rsid w:val="00A434EA"/>
    <w:rsid w:val="00A43CFB"/>
    <w:rsid w:val="00A46826"/>
    <w:rsid w:val="00A47A84"/>
    <w:rsid w:val="00A47B0E"/>
    <w:rsid w:val="00A54186"/>
    <w:rsid w:val="00A547A8"/>
    <w:rsid w:val="00A54A9B"/>
    <w:rsid w:val="00A54DF0"/>
    <w:rsid w:val="00A55EA9"/>
    <w:rsid w:val="00A564E0"/>
    <w:rsid w:val="00A56AE0"/>
    <w:rsid w:val="00A60F3C"/>
    <w:rsid w:val="00A6109A"/>
    <w:rsid w:val="00A620F9"/>
    <w:rsid w:val="00A62A99"/>
    <w:rsid w:val="00A62D82"/>
    <w:rsid w:val="00A63472"/>
    <w:rsid w:val="00A637F6"/>
    <w:rsid w:val="00A67CD1"/>
    <w:rsid w:val="00A7078A"/>
    <w:rsid w:val="00A70C02"/>
    <w:rsid w:val="00A7183F"/>
    <w:rsid w:val="00A73B91"/>
    <w:rsid w:val="00A73E0A"/>
    <w:rsid w:val="00A7544B"/>
    <w:rsid w:val="00A7567A"/>
    <w:rsid w:val="00A75CD4"/>
    <w:rsid w:val="00A81E12"/>
    <w:rsid w:val="00A82E9C"/>
    <w:rsid w:val="00A848A7"/>
    <w:rsid w:val="00A856C8"/>
    <w:rsid w:val="00A85A16"/>
    <w:rsid w:val="00A85A53"/>
    <w:rsid w:val="00A91BBF"/>
    <w:rsid w:val="00A922BE"/>
    <w:rsid w:val="00A92CB5"/>
    <w:rsid w:val="00A93162"/>
    <w:rsid w:val="00A95D4A"/>
    <w:rsid w:val="00A960C4"/>
    <w:rsid w:val="00A96D8C"/>
    <w:rsid w:val="00A976F5"/>
    <w:rsid w:val="00AA0DE7"/>
    <w:rsid w:val="00AA30EE"/>
    <w:rsid w:val="00AA3FF0"/>
    <w:rsid w:val="00AA6E13"/>
    <w:rsid w:val="00AA77B6"/>
    <w:rsid w:val="00AA79F2"/>
    <w:rsid w:val="00AB0C8B"/>
    <w:rsid w:val="00AB10D5"/>
    <w:rsid w:val="00AB1A98"/>
    <w:rsid w:val="00AB2559"/>
    <w:rsid w:val="00AB2762"/>
    <w:rsid w:val="00AB3DC5"/>
    <w:rsid w:val="00AB4539"/>
    <w:rsid w:val="00AB48F2"/>
    <w:rsid w:val="00AB6C47"/>
    <w:rsid w:val="00AB7CB3"/>
    <w:rsid w:val="00AC0E4B"/>
    <w:rsid w:val="00AC1DAF"/>
    <w:rsid w:val="00AC1DF5"/>
    <w:rsid w:val="00AC2F01"/>
    <w:rsid w:val="00AC3C33"/>
    <w:rsid w:val="00AC4F11"/>
    <w:rsid w:val="00AC6942"/>
    <w:rsid w:val="00AD014D"/>
    <w:rsid w:val="00AD029A"/>
    <w:rsid w:val="00AD0AEE"/>
    <w:rsid w:val="00AD0E0F"/>
    <w:rsid w:val="00AD24F4"/>
    <w:rsid w:val="00AD380F"/>
    <w:rsid w:val="00AD3F93"/>
    <w:rsid w:val="00AD4162"/>
    <w:rsid w:val="00AD4A90"/>
    <w:rsid w:val="00AD66C4"/>
    <w:rsid w:val="00AD6EE2"/>
    <w:rsid w:val="00AE2463"/>
    <w:rsid w:val="00AE2760"/>
    <w:rsid w:val="00AE2885"/>
    <w:rsid w:val="00AE290D"/>
    <w:rsid w:val="00AE4F3A"/>
    <w:rsid w:val="00AE59FD"/>
    <w:rsid w:val="00AE61A1"/>
    <w:rsid w:val="00AE6D80"/>
    <w:rsid w:val="00AE6EA7"/>
    <w:rsid w:val="00AF16AB"/>
    <w:rsid w:val="00AF18B0"/>
    <w:rsid w:val="00AF24E3"/>
    <w:rsid w:val="00AF25C4"/>
    <w:rsid w:val="00AF5E62"/>
    <w:rsid w:val="00B000AD"/>
    <w:rsid w:val="00B026BF"/>
    <w:rsid w:val="00B052B8"/>
    <w:rsid w:val="00B055AE"/>
    <w:rsid w:val="00B05986"/>
    <w:rsid w:val="00B10420"/>
    <w:rsid w:val="00B11FF2"/>
    <w:rsid w:val="00B158EC"/>
    <w:rsid w:val="00B16983"/>
    <w:rsid w:val="00B1710C"/>
    <w:rsid w:val="00B2070B"/>
    <w:rsid w:val="00B209AC"/>
    <w:rsid w:val="00B20BB6"/>
    <w:rsid w:val="00B21A10"/>
    <w:rsid w:val="00B2582D"/>
    <w:rsid w:val="00B30294"/>
    <w:rsid w:val="00B30CDE"/>
    <w:rsid w:val="00B315FD"/>
    <w:rsid w:val="00B324A3"/>
    <w:rsid w:val="00B324D4"/>
    <w:rsid w:val="00B32516"/>
    <w:rsid w:val="00B326FF"/>
    <w:rsid w:val="00B329F2"/>
    <w:rsid w:val="00B33541"/>
    <w:rsid w:val="00B33836"/>
    <w:rsid w:val="00B359C1"/>
    <w:rsid w:val="00B36790"/>
    <w:rsid w:val="00B3764B"/>
    <w:rsid w:val="00B37865"/>
    <w:rsid w:val="00B37E5E"/>
    <w:rsid w:val="00B40126"/>
    <w:rsid w:val="00B401D6"/>
    <w:rsid w:val="00B40EC0"/>
    <w:rsid w:val="00B4200C"/>
    <w:rsid w:val="00B4279B"/>
    <w:rsid w:val="00B44ED3"/>
    <w:rsid w:val="00B46E33"/>
    <w:rsid w:val="00B4769A"/>
    <w:rsid w:val="00B50369"/>
    <w:rsid w:val="00B51326"/>
    <w:rsid w:val="00B51BCE"/>
    <w:rsid w:val="00B52ADD"/>
    <w:rsid w:val="00B52CF7"/>
    <w:rsid w:val="00B53D2D"/>
    <w:rsid w:val="00B54D97"/>
    <w:rsid w:val="00B559A1"/>
    <w:rsid w:val="00B56058"/>
    <w:rsid w:val="00B56BDB"/>
    <w:rsid w:val="00B57DA1"/>
    <w:rsid w:val="00B60BC7"/>
    <w:rsid w:val="00B60E1B"/>
    <w:rsid w:val="00B61963"/>
    <w:rsid w:val="00B61C53"/>
    <w:rsid w:val="00B63999"/>
    <w:rsid w:val="00B64288"/>
    <w:rsid w:val="00B65420"/>
    <w:rsid w:val="00B65B04"/>
    <w:rsid w:val="00B67208"/>
    <w:rsid w:val="00B716D2"/>
    <w:rsid w:val="00B72B36"/>
    <w:rsid w:val="00B7412D"/>
    <w:rsid w:val="00B7550E"/>
    <w:rsid w:val="00B761AA"/>
    <w:rsid w:val="00B768C1"/>
    <w:rsid w:val="00B76E7E"/>
    <w:rsid w:val="00B779BE"/>
    <w:rsid w:val="00B80078"/>
    <w:rsid w:val="00B80303"/>
    <w:rsid w:val="00B804B1"/>
    <w:rsid w:val="00B80D9A"/>
    <w:rsid w:val="00B815DD"/>
    <w:rsid w:val="00B818DE"/>
    <w:rsid w:val="00B832C3"/>
    <w:rsid w:val="00B83728"/>
    <w:rsid w:val="00B838C3"/>
    <w:rsid w:val="00B83B8A"/>
    <w:rsid w:val="00B845F0"/>
    <w:rsid w:val="00B84C2B"/>
    <w:rsid w:val="00B84C5E"/>
    <w:rsid w:val="00B860C2"/>
    <w:rsid w:val="00B86988"/>
    <w:rsid w:val="00B8765D"/>
    <w:rsid w:val="00B900E4"/>
    <w:rsid w:val="00B916CF"/>
    <w:rsid w:val="00B91D62"/>
    <w:rsid w:val="00B92C04"/>
    <w:rsid w:val="00B92DC8"/>
    <w:rsid w:val="00B93487"/>
    <w:rsid w:val="00B948B7"/>
    <w:rsid w:val="00B9516F"/>
    <w:rsid w:val="00B95D01"/>
    <w:rsid w:val="00B96811"/>
    <w:rsid w:val="00BA09C1"/>
    <w:rsid w:val="00BA1258"/>
    <w:rsid w:val="00BA2258"/>
    <w:rsid w:val="00BA239B"/>
    <w:rsid w:val="00BA4F5E"/>
    <w:rsid w:val="00BA6545"/>
    <w:rsid w:val="00BA6952"/>
    <w:rsid w:val="00BA7524"/>
    <w:rsid w:val="00BA7B99"/>
    <w:rsid w:val="00BB1408"/>
    <w:rsid w:val="00BB1BEF"/>
    <w:rsid w:val="00BB2190"/>
    <w:rsid w:val="00BB2601"/>
    <w:rsid w:val="00BB2D20"/>
    <w:rsid w:val="00BB2F18"/>
    <w:rsid w:val="00BB6008"/>
    <w:rsid w:val="00BB7E6A"/>
    <w:rsid w:val="00BC02E4"/>
    <w:rsid w:val="00BC03A7"/>
    <w:rsid w:val="00BC3D0C"/>
    <w:rsid w:val="00BC3F01"/>
    <w:rsid w:val="00BC5370"/>
    <w:rsid w:val="00BC5A74"/>
    <w:rsid w:val="00BC6EAE"/>
    <w:rsid w:val="00BD05D1"/>
    <w:rsid w:val="00BD0F8B"/>
    <w:rsid w:val="00BD17FD"/>
    <w:rsid w:val="00BD1922"/>
    <w:rsid w:val="00BD1929"/>
    <w:rsid w:val="00BD26BE"/>
    <w:rsid w:val="00BD33D9"/>
    <w:rsid w:val="00BD43F3"/>
    <w:rsid w:val="00BD594F"/>
    <w:rsid w:val="00BD607B"/>
    <w:rsid w:val="00BD67DE"/>
    <w:rsid w:val="00BD6EA0"/>
    <w:rsid w:val="00BD78D4"/>
    <w:rsid w:val="00BE129A"/>
    <w:rsid w:val="00BE14DE"/>
    <w:rsid w:val="00BE1E79"/>
    <w:rsid w:val="00BE292A"/>
    <w:rsid w:val="00BE2A3D"/>
    <w:rsid w:val="00BE42DD"/>
    <w:rsid w:val="00BE4DF5"/>
    <w:rsid w:val="00BE5943"/>
    <w:rsid w:val="00BE63D4"/>
    <w:rsid w:val="00BE6FDE"/>
    <w:rsid w:val="00BE76FC"/>
    <w:rsid w:val="00BF121C"/>
    <w:rsid w:val="00BF2F7A"/>
    <w:rsid w:val="00BF44CA"/>
    <w:rsid w:val="00BF47AA"/>
    <w:rsid w:val="00BF5D8D"/>
    <w:rsid w:val="00BF7495"/>
    <w:rsid w:val="00BF7DD6"/>
    <w:rsid w:val="00C02488"/>
    <w:rsid w:val="00C03530"/>
    <w:rsid w:val="00C03E02"/>
    <w:rsid w:val="00C03FB7"/>
    <w:rsid w:val="00C0444A"/>
    <w:rsid w:val="00C04FD0"/>
    <w:rsid w:val="00C058E3"/>
    <w:rsid w:val="00C061A6"/>
    <w:rsid w:val="00C065E5"/>
    <w:rsid w:val="00C06A34"/>
    <w:rsid w:val="00C07A70"/>
    <w:rsid w:val="00C07AB6"/>
    <w:rsid w:val="00C07FB3"/>
    <w:rsid w:val="00C103BB"/>
    <w:rsid w:val="00C10D76"/>
    <w:rsid w:val="00C1226D"/>
    <w:rsid w:val="00C1239A"/>
    <w:rsid w:val="00C1384B"/>
    <w:rsid w:val="00C13FE3"/>
    <w:rsid w:val="00C1561A"/>
    <w:rsid w:val="00C15BF6"/>
    <w:rsid w:val="00C178EF"/>
    <w:rsid w:val="00C17C29"/>
    <w:rsid w:val="00C21174"/>
    <w:rsid w:val="00C22B7A"/>
    <w:rsid w:val="00C23DC9"/>
    <w:rsid w:val="00C24218"/>
    <w:rsid w:val="00C300F3"/>
    <w:rsid w:val="00C34266"/>
    <w:rsid w:val="00C352B0"/>
    <w:rsid w:val="00C37041"/>
    <w:rsid w:val="00C37896"/>
    <w:rsid w:val="00C406D5"/>
    <w:rsid w:val="00C408F1"/>
    <w:rsid w:val="00C41418"/>
    <w:rsid w:val="00C42D07"/>
    <w:rsid w:val="00C43D1F"/>
    <w:rsid w:val="00C4600A"/>
    <w:rsid w:val="00C463C5"/>
    <w:rsid w:val="00C50F12"/>
    <w:rsid w:val="00C51BC8"/>
    <w:rsid w:val="00C524DA"/>
    <w:rsid w:val="00C5363F"/>
    <w:rsid w:val="00C53F19"/>
    <w:rsid w:val="00C54BF1"/>
    <w:rsid w:val="00C5518C"/>
    <w:rsid w:val="00C56C6A"/>
    <w:rsid w:val="00C56C9A"/>
    <w:rsid w:val="00C5769A"/>
    <w:rsid w:val="00C578CC"/>
    <w:rsid w:val="00C60AEF"/>
    <w:rsid w:val="00C611CB"/>
    <w:rsid w:val="00C6182D"/>
    <w:rsid w:val="00C6210E"/>
    <w:rsid w:val="00C62AFB"/>
    <w:rsid w:val="00C63112"/>
    <w:rsid w:val="00C64A48"/>
    <w:rsid w:val="00C64E9F"/>
    <w:rsid w:val="00C6761E"/>
    <w:rsid w:val="00C729C0"/>
    <w:rsid w:val="00C740F8"/>
    <w:rsid w:val="00C7413F"/>
    <w:rsid w:val="00C743D2"/>
    <w:rsid w:val="00C74C8C"/>
    <w:rsid w:val="00C75491"/>
    <w:rsid w:val="00C75A59"/>
    <w:rsid w:val="00C76B33"/>
    <w:rsid w:val="00C76D70"/>
    <w:rsid w:val="00C77794"/>
    <w:rsid w:val="00C77E85"/>
    <w:rsid w:val="00C77E9C"/>
    <w:rsid w:val="00C81746"/>
    <w:rsid w:val="00C83F30"/>
    <w:rsid w:val="00C84AF8"/>
    <w:rsid w:val="00C85426"/>
    <w:rsid w:val="00C8570A"/>
    <w:rsid w:val="00C86682"/>
    <w:rsid w:val="00C8707F"/>
    <w:rsid w:val="00C87738"/>
    <w:rsid w:val="00C90548"/>
    <w:rsid w:val="00C91858"/>
    <w:rsid w:val="00C91880"/>
    <w:rsid w:val="00C92A84"/>
    <w:rsid w:val="00C92ADB"/>
    <w:rsid w:val="00C932BC"/>
    <w:rsid w:val="00C9379A"/>
    <w:rsid w:val="00C94BB7"/>
    <w:rsid w:val="00C95132"/>
    <w:rsid w:val="00C95429"/>
    <w:rsid w:val="00C95C1E"/>
    <w:rsid w:val="00C9669A"/>
    <w:rsid w:val="00CA12A9"/>
    <w:rsid w:val="00CA1818"/>
    <w:rsid w:val="00CA1C4B"/>
    <w:rsid w:val="00CA2414"/>
    <w:rsid w:val="00CA2AD0"/>
    <w:rsid w:val="00CA2B86"/>
    <w:rsid w:val="00CA2C89"/>
    <w:rsid w:val="00CA418E"/>
    <w:rsid w:val="00CA4481"/>
    <w:rsid w:val="00CA50B6"/>
    <w:rsid w:val="00CA6219"/>
    <w:rsid w:val="00CB107F"/>
    <w:rsid w:val="00CB10EA"/>
    <w:rsid w:val="00CB2A34"/>
    <w:rsid w:val="00CB5857"/>
    <w:rsid w:val="00CB5B1D"/>
    <w:rsid w:val="00CB77D0"/>
    <w:rsid w:val="00CB7B99"/>
    <w:rsid w:val="00CC0F6C"/>
    <w:rsid w:val="00CC117B"/>
    <w:rsid w:val="00CC12E5"/>
    <w:rsid w:val="00CC1BDC"/>
    <w:rsid w:val="00CC409D"/>
    <w:rsid w:val="00CC4756"/>
    <w:rsid w:val="00CC5004"/>
    <w:rsid w:val="00CC58F1"/>
    <w:rsid w:val="00CC5F62"/>
    <w:rsid w:val="00CC62D1"/>
    <w:rsid w:val="00CC63A2"/>
    <w:rsid w:val="00CC6928"/>
    <w:rsid w:val="00CC6C18"/>
    <w:rsid w:val="00CC7982"/>
    <w:rsid w:val="00CC7C89"/>
    <w:rsid w:val="00CD108D"/>
    <w:rsid w:val="00CD1F79"/>
    <w:rsid w:val="00CD24A9"/>
    <w:rsid w:val="00CD27DF"/>
    <w:rsid w:val="00CD4B1E"/>
    <w:rsid w:val="00CD629D"/>
    <w:rsid w:val="00CD6788"/>
    <w:rsid w:val="00CD6F1A"/>
    <w:rsid w:val="00CE0EDD"/>
    <w:rsid w:val="00CE112C"/>
    <w:rsid w:val="00CE16DF"/>
    <w:rsid w:val="00CE1B40"/>
    <w:rsid w:val="00CE21FC"/>
    <w:rsid w:val="00CE6306"/>
    <w:rsid w:val="00CE7295"/>
    <w:rsid w:val="00CF1456"/>
    <w:rsid w:val="00CF259C"/>
    <w:rsid w:val="00CF2C2F"/>
    <w:rsid w:val="00CF350F"/>
    <w:rsid w:val="00CF3AD5"/>
    <w:rsid w:val="00CF4073"/>
    <w:rsid w:val="00CF4665"/>
    <w:rsid w:val="00CF472E"/>
    <w:rsid w:val="00CF5724"/>
    <w:rsid w:val="00CF5F0A"/>
    <w:rsid w:val="00D00016"/>
    <w:rsid w:val="00D018D9"/>
    <w:rsid w:val="00D01C09"/>
    <w:rsid w:val="00D03B18"/>
    <w:rsid w:val="00D03E2D"/>
    <w:rsid w:val="00D04DC7"/>
    <w:rsid w:val="00D05776"/>
    <w:rsid w:val="00D059B5"/>
    <w:rsid w:val="00D05A63"/>
    <w:rsid w:val="00D063F0"/>
    <w:rsid w:val="00D0655F"/>
    <w:rsid w:val="00D07D06"/>
    <w:rsid w:val="00D11215"/>
    <w:rsid w:val="00D114B6"/>
    <w:rsid w:val="00D1171F"/>
    <w:rsid w:val="00D12DFB"/>
    <w:rsid w:val="00D136E6"/>
    <w:rsid w:val="00D13D20"/>
    <w:rsid w:val="00D14040"/>
    <w:rsid w:val="00D14B8C"/>
    <w:rsid w:val="00D14E51"/>
    <w:rsid w:val="00D15226"/>
    <w:rsid w:val="00D16AA0"/>
    <w:rsid w:val="00D173DE"/>
    <w:rsid w:val="00D2120C"/>
    <w:rsid w:val="00D21DE6"/>
    <w:rsid w:val="00D22B4D"/>
    <w:rsid w:val="00D245D1"/>
    <w:rsid w:val="00D2524B"/>
    <w:rsid w:val="00D2528E"/>
    <w:rsid w:val="00D25E76"/>
    <w:rsid w:val="00D26A08"/>
    <w:rsid w:val="00D272D0"/>
    <w:rsid w:val="00D27916"/>
    <w:rsid w:val="00D27D05"/>
    <w:rsid w:val="00D32A89"/>
    <w:rsid w:val="00D33AA9"/>
    <w:rsid w:val="00D33E6E"/>
    <w:rsid w:val="00D34571"/>
    <w:rsid w:val="00D34B53"/>
    <w:rsid w:val="00D35EF7"/>
    <w:rsid w:val="00D363B3"/>
    <w:rsid w:val="00D40AD2"/>
    <w:rsid w:val="00D414F2"/>
    <w:rsid w:val="00D41529"/>
    <w:rsid w:val="00D449FE"/>
    <w:rsid w:val="00D44C8F"/>
    <w:rsid w:val="00D44DF0"/>
    <w:rsid w:val="00D44F46"/>
    <w:rsid w:val="00D45331"/>
    <w:rsid w:val="00D46E48"/>
    <w:rsid w:val="00D508D7"/>
    <w:rsid w:val="00D51A6A"/>
    <w:rsid w:val="00D53010"/>
    <w:rsid w:val="00D53ACD"/>
    <w:rsid w:val="00D5476B"/>
    <w:rsid w:val="00D54BEB"/>
    <w:rsid w:val="00D55446"/>
    <w:rsid w:val="00D5564E"/>
    <w:rsid w:val="00D60149"/>
    <w:rsid w:val="00D61422"/>
    <w:rsid w:val="00D614A2"/>
    <w:rsid w:val="00D639F8"/>
    <w:rsid w:val="00D641E5"/>
    <w:rsid w:val="00D64514"/>
    <w:rsid w:val="00D64F17"/>
    <w:rsid w:val="00D66282"/>
    <w:rsid w:val="00D7005C"/>
    <w:rsid w:val="00D70184"/>
    <w:rsid w:val="00D714B1"/>
    <w:rsid w:val="00D731D7"/>
    <w:rsid w:val="00D73F72"/>
    <w:rsid w:val="00D74274"/>
    <w:rsid w:val="00D748FD"/>
    <w:rsid w:val="00D7547A"/>
    <w:rsid w:val="00D75B38"/>
    <w:rsid w:val="00D76432"/>
    <w:rsid w:val="00D76FCA"/>
    <w:rsid w:val="00D80AA4"/>
    <w:rsid w:val="00D80BBE"/>
    <w:rsid w:val="00D8106E"/>
    <w:rsid w:val="00D81A9E"/>
    <w:rsid w:val="00D81D29"/>
    <w:rsid w:val="00D8234D"/>
    <w:rsid w:val="00D826BF"/>
    <w:rsid w:val="00D828C6"/>
    <w:rsid w:val="00D82CCF"/>
    <w:rsid w:val="00D82E9D"/>
    <w:rsid w:val="00D841AE"/>
    <w:rsid w:val="00D852F9"/>
    <w:rsid w:val="00D86E8D"/>
    <w:rsid w:val="00D90442"/>
    <w:rsid w:val="00D915EE"/>
    <w:rsid w:val="00D923AB"/>
    <w:rsid w:val="00D92F34"/>
    <w:rsid w:val="00D93A66"/>
    <w:rsid w:val="00D944E3"/>
    <w:rsid w:val="00D94648"/>
    <w:rsid w:val="00D96ADC"/>
    <w:rsid w:val="00D978EA"/>
    <w:rsid w:val="00DA092C"/>
    <w:rsid w:val="00DA09C9"/>
    <w:rsid w:val="00DA1DC2"/>
    <w:rsid w:val="00DA1E6E"/>
    <w:rsid w:val="00DA35CE"/>
    <w:rsid w:val="00DA421E"/>
    <w:rsid w:val="00DA44E6"/>
    <w:rsid w:val="00DA489C"/>
    <w:rsid w:val="00DA520D"/>
    <w:rsid w:val="00DA7FB8"/>
    <w:rsid w:val="00DB13F7"/>
    <w:rsid w:val="00DB1639"/>
    <w:rsid w:val="00DB2981"/>
    <w:rsid w:val="00DB3EB2"/>
    <w:rsid w:val="00DB448C"/>
    <w:rsid w:val="00DB4FC6"/>
    <w:rsid w:val="00DB54C0"/>
    <w:rsid w:val="00DB63D7"/>
    <w:rsid w:val="00DB66C0"/>
    <w:rsid w:val="00DC193A"/>
    <w:rsid w:val="00DC1A68"/>
    <w:rsid w:val="00DC3FCF"/>
    <w:rsid w:val="00DC41A6"/>
    <w:rsid w:val="00DC4245"/>
    <w:rsid w:val="00DC45F5"/>
    <w:rsid w:val="00DC4796"/>
    <w:rsid w:val="00DC4C89"/>
    <w:rsid w:val="00DC5080"/>
    <w:rsid w:val="00DC6D95"/>
    <w:rsid w:val="00DC6E79"/>
    <w:rsid w:val="00DC7835"/>
    <w:rsid w:val="00DC7BBC"/>
    <w:rsid w:val="00DD0B54"/>
    <w:rsid w:val="00DD1B39"/>
    <w:rsid w:val="00DD2062"/>
    <w:rsid w:val="00DD2CD3"/>
    <w:rsid w:val="00DD3359"/>
    <w:rsid w:val="00DD387B"/>
    <w:rsid w:val="00DD67AD"/>
    <w:rsid w:val="00DD6991"/>
    <w:rsid w:val="00DD6BD4"/>
    <w:rsid w:val="00DD6E1A"/>
    <w:rsid w:val="00DD7C1B"/>
    <w:rsid w:val="00DE0E90"/>
    <w:rsid w:val="00DE31E6"/>
    <w:rsid w:val="00DE3265"/>
    <w:rsid w:val="00DE41D9"/>
    <w:rsid w:val="00DE5C28"/>
    <w:rsid w:val="00DF0075"/>
    <w:rsid w:val="00DF082A"/>
    <w:rsid w:val="00DF132C"/>
    <w:rsid w:val="00DF26B8"/>
    <w:rsid w:val="00DF32B4"/>
    <w:rsid w:val="00DF35B1"/>
    <w:rsid w:val="00DF3768"/>
    <w:rsid w:val="00DF3ACD"/>
    <w:rsid w:val="00DF3DBD"/>
    <w:rsid w:val="00DF4040"/>
    <w:rsid w:val="00DF4209"/>
    <w:rsid w:val="00DF4977"/>
    <w:rsid w:val="00E0178D"/>
    <w:rsid w:val="00E02022"/>
    <w:rsid w:val="00E02078"/>
    <w:rsid w:val="00E02833"/>
    <w:rsid w:val="00E029B6"/>
    <w:rsid w:val="00E02CE8"/>
    <w:rsid w:val="00E0313E"/>
    <w:rsid w:val="00E04A70"/>
    <w:rsid w:val="00E05567"/>
    <w:rsid w:val="00E05AA9"/>
    <w:rsid w:val="00E06A21"/>
    <w:rsid w:val="00E06DDF"/>
    <w:rsid w:val="00E07564"/>
    <w:rsid w:val="00E078F9"/>
    <w:rsid w:val="00E12893"/>
    <w:rsid w:val="00E13360"/>
    <w:rsid w:val="00E14135"/>
    <w:rsid w:val="00E148B7"/>
    <w:rsid w:val="00E17277"/>
    <w:rsid w:val="00E1738A"/>
    <w:rsid w:val="00E21058"/>
    <w:rsid w:val="00E229E7"/>
    <w:rsid w:val="00E22E1C"/>
    <w:rsid w:val="00E23168"/>
    <w:rsid w:val="00E239C7"/>
    <w:rsid w:val="00E23D9C"/>
    <w:rsid w:val="00E24CB5"/>
    <w:rsid w:val="00E25C97"/>
    <w:rsid w:val="00E26176"/>
    <w:rsid w:val="00E312D0"/>
    <w:rsid w:val="00E3336E"/>
    <w:rsid w:val="00E33DB7"/>
    <w:rsid w:val="00E33FEF"/>
    <w:rsid w:val="00E346BB"/>
    <w:rsid w:val="00E3575C"/>
    <w:rsid w:val="00E36B66"/>
    <w:rsid w:val="00E409D5"/>
    <w:rsid w:val="00E40F78"/>
    <w:rsid w:val="00E4104D"/>
    <w:rsid w:val="00E41D4F"/>
    <w:rsid w:val="00E41D92"/>
    <w:rsid w:val="00E43137"/>
    <w:rsid w:val="00E44ABF"/>
    <w:rsid w:val="00E46017"/>
    <w:rsid w:val="00E4601F"/>
    <w:rsid w:val="00E47427"/>
    <w:rsid w:val="00E500E6"/>
    <w:rsid w:val="00E50518"/>
    <w:rsid w:val="00E505AA"/>
    <w:rsid w:val="00E5141A"/>
    <w:rsid w:val="00E5260D"/>
    <w:rsid w:val="00E5277D"/>
    <w:rsid w:val="00E52B29"/>
    <w:rsid w:val="00E53999"/>
    <w:rsid w:val="00E540FB"/>
    <w:rsid w:val="00E54515"/>
    <w:rsid w:val="00E54719"/>
    <w:rsid w:val="00E55536"/>
    <w:rsid w:val="00E57154"/>
    <w:rsid w:val="00E572E1"/>
    <w:rsid w:val="00E57C13"/>
    <w:rsid w:val="00E619E5"/>
    <w:rsid w:val="00E622EE"/>
    <w:rsid w:val="00E625BC"/>
    <w:rsid w:val="00E62C82"/>
    <w:rsid w:val="00E63887"/>
    <w:rsid w:val="00E63A29"/>
    <w:rsid w:val="00E6493E"/>
    <w:rsid w:val="00E64954"/>
    <w:rsid w:val="00E64DC9"/>
    <w:rsid w:val="00E64FA5"/>
    <w:rsid w:val="00E64FF1"/>
    <w:rsid w:val="00E658AE"/>
    <w:rsid w:val="00E66F21"/>
    <w:rsid w:val="00E67016"/>
    <w:rsid w:val="00E677E3"/>
    <w:rsid w:val="00E6795A"/>
    <w:rsid w:val="00E67FD9"/>
    <w:rsid w:val="00E70405"/>
    <w:rsid w:val="00E7053A"/>
    <w:rsid w:val="00E719E9"/>
    <w:rsid w:val="00E725CF"/>
    <w:rsid w:val="00E72BB6"/>
    <w:rsid w:val="00E72D06"/>
    <w:rsid w:val="00E73662"/>
    <w:rsid w:val="00E73917"/>
    <w:rsid w:val="00E73BFD"/>
    <w:rsid w:val="00E75E5D"/>
    <w:rsid w:val="00E7663B"/>
    <w:rsid w:val="00E76E2C"/>
    <w:rsid w:val="00E775BA"/>
    <w:rsid w:val="00E77CC3"/>
    <w:rsid w:val="00E84016"/>
    <w:rsid w:val="00E84C7C"/>
    <w:rsid w:val="00E853A4"/>
    <w:rsid w:val="00E85EB6"/>
    <w:rsid w:val="00E86543"/>
    <w:rsid w:val="00E9081A"/>
    <w:rsid w:val="00E927C9"/>
    <w:rsid w:val="00E92CEC"/>
    <w:rsid w:val="00E93034"/>
    <w:rsid w:val="00E93C95"/>
    <w:rsid w:val="00E93FF0"/>
    <w:rsid w:val="00E954A9"/>
    <w:rsid w:val="00E9584A"/>
    <w:rsid w:val="00E96C3E"/>
    <w:rsid w:val="00E96EF9"/>
    <w:rsid w:val="00EA1695"/>
    <w:rsid w:val="00EA4441"/>
    <w:rsid w:val="00EA68B6"/>
    <w:rsid w:val="00EA6987"/>
    <w:rsid w:val="00EA7B1D"/>
    <w:rsid w:val="00EA7B4A"/>
    <w:rsid w:val="00EB142B"/>
    <w:rsid w:val="00EB1F9B"/>
    <w:rsid w:val="00EB2029"/>
    <w:rsid w:val="00EB2BEB"/>
    <w:rsid w:val="00EB31B7"/>
    <w:rsid w:val="00EB33B7"/>
    <w:rsid w:val="00EB3A74"/>
    <w:rsid w:val="00EB4505"/>
    <w:rsid w:val="00EB464D"/>
    <w:rsid w:val="00EB49E0"/>
    <w:rsid w:val="00EB49E9"/>
    <w:rsid w:val="00EB5F99"/>
    <w:rsid w:val="00EB7A92"/>
    <w:rsid w:val="00EB7D89"/>
    <w:rsid w:val="00EC1BB6"/>
    <w:rsid w:val="00EC1E19"/>
    <w:rsid w:val="00EC22B2"/>
    <w:rsid w:val="00EC2D4C"/>
    <w:rsid w:val="00EC2DE3"/>
    <w:rsid w:val="00EC553C"/>
    <w:rsid w:val="00EC79C0"/>
    <w:rsid w:val="00ED13E4"/>
    <w:rsid w:val="00ED1805"/>
    <w:rsid w:val="00ED1D00"/>
    <w:rsid w:val="00ED1E90"/>
    <w:rsid w:val="00ED3B77"/>
    <w:rsid w:val="00ED5BD1"/>
    <w:rsid w:val="00ED5C0E"/>
    <w:rsid w:val="00ED70B2"/>
    <w:rsid w:val="00ED7633"/>
    <w:rsid w:val="00ED7883"/>
    <w:rsid w:val="00EE0B64"/>
    <w:rsid w:val="00EE1935"/>
    <w:rsid w:val="00EE2F88"/>
    <w:rsid w:val="00EE3633"/>
    <w:rsid w:val="00EE37B0"/>
    <w:rsid w:val="00EE4E42"/>
    <w:rsid w:val="00EE68D1"/>
    <w:rsid w:val="00EE6B57"/>
    <w:rsid w:val="00EE6F79"/>
    <w:rsid w:val="00EE73F1"/>
    <w:rsid w:val="00EF1B78"/>
    <w:rsid w:val="00EF1E8E"/>
    <w:rsid w:val="00EF25DC"/>
    <w:rsid w:val="00EF36A2"/>
    <w:rsid w:val="00EF42C1"/>
    <w:rsid w:val="00EF566C"/>
    <w:rsid w:val="00EF65EF"/>
    <w:rsid w:val="00EF6E61"/>
    <w:rsid w:val="00F016DE"/>
    <w:rsid w:val="00F01741"/>
    <w:rsid w:val="00F01E0C"/>
    <w:rsid w:val="00F0202E"/>
    <w:rsid w:val="00F0361D"/>
    <w:rsid w:val="00F03AC1"/>
    <w:rsid w:val="00F04034"/>
    <w:rsid w:val="00F041A3"/>
    <w:rsid w:val="00F0452F"/>
    <w:rsid w:val="00F05E31"/>
    <w:rsid w:val="00F05EE2"/>
    <w:rsid w:val="00F07C79"/>
    <w:rsid w:val="00F07FDF"/>
    <w:rsid w:val="00F10F34"/>
    <w:rsid w:val="00F11D87"/>
    <w:rsid w:val="00F124D5"/>
    <w:rsid w:val="00F12A5D"/>
    <w:rsid w:val="00F12C19"/>
    <w:rsid w:val="00F1344B"/>
    <w:rsid w:val="00F13B3C"/>
    <w:rsid w:val="00F14460"/>
    <w:rsid w:val="00F14BDA"/>
    <w:rsid w:val="00F14C05"/>
    <w:rsid w:val="00F14D50"/>
    <w:rsid w:val="00F16C48"/>
    <w:rsid w:val="00F216EB"/>
    <w:rsid w:val="00F21AA7"/>
    <w:rsid w:val="00F22128"/>
    <w:rsid w:val="00F229F3"/>
    <w:rsid w:val="00F238E5"/>
    <w:rsid w:val="00F23B31"/>
    <w:rsid w:val="00F23BDC"/>
    <w:rsid w:val="00F252C7"/>
    <w:rsid w:val="00F26471"/>
    <w:rsid w:val="00F26DDE"/>
    <w:rsid w:val="00F27D41"/>
    <w:rsid w:val="00F30478"/>
    <w:rsid w:val="00F30822"/>
    <w:rsid w:val="00F3150E"/>
    <w:rsid w:val="00F34360"/>
    <w:rsid w:val="00F343DC"/>
    <w:rsid w:val="00F35037"/>
    <w:rsid w:val="00F35311"/>
    <w:rsid w:val="00F35F82"/>
    <w:rsid w:val="00F41FB8"/>
    <w:rsid w:val="00F4243D"/>
    <w:rsid w:val="00F42ED4"/>
    <w:rsid w:val="00F435D3"/>
    <w:rsid w:val="00F44333"/>
    <w:rsid w:val="00F449E2"/>
    <w:rsid w:val="00F4605B"/>
    <w:rsid w:val="00F46E5B"/>
    <w:rsid w:val="00F476B3"/>
    <w:rsid w:val="00F47EB8"/>
    <w:rsid w:val="00F504B7"/>
    <w:rsid w:val="00F5194C"/>
    <w:rsid w:val="00F53FE7"/>
    <w:rsid w:val="00F5618F"/>
    <w:rsid w:val="00F57DF3"/>
    <w:rsid w:val="00F57F5C"/>
    <w:rsid w:val="00F60569"/>
    <w:rsid w:val="00F60BC5"/>
    <w:rsid w:val="00F620E8"/>
    <w:rsid w:val="00F63565"/>
    <w:rsid w:val="00F63EF1"/>
    <w:rsid w:val="00F65400"/>
    <w:rsid w:val="00F67356"/>
    <w:rsid w:val="00F67A67"/>
    <w:rsid w:val="00F71E94"/>
    <w:rsid w:val="00F72788"/>
    <w:rsid w:val="00F727A4"/>
    <w:rsid w:val="00F73191"/>
    <w:rsid w:val="00F74AF6"/>
    <w:rsid w:val="00F75653"/>
    <w:rsid w:val="00F75C18"/>
    <w:rsid w:val="00F77716"/>
    <w:rsid w:val="00F7780D"/>
    <w:rsid w:val="00F813E3"/>
    <w:rsid w:val="00F816DD"/>
    <w:rsid w:val="00F81AB2"/>
    <w:rsid w:val="00F82DC3"/>
    <w:rsid w:val="00F83554"/>
    <w:rsid w:val="00F83EB7"/>
    <w:rsid w:val="00F841A3"/>
    <w:rsid w:val="00F842D7"/>
    <w:rsid w:val="00F86073"/>
    <w:rsid w:val="00F874C8"/>
    <w:rsid w:val="00F9031C"/>
    <w:rsid w:val="00F92627"/>
    <w:rsid w:val="00F937D2"/>
    <w:rsid w:val="00F94FB8"/>
    <w:rsid w:val="00F957C1"/>
    <w:rsid w:val="00F95B6B"/>
    <w:rsid w:val="00F96E81"/>
    <w:rsid w:val="00F97515"/>
    <w:rsid w:val="00FA0045"/>
    <w:rsid w:val="00FA0B7D"/>
    <w:rsid w:val="00FA1533"/>
    <w:rsid w:val="00FA229F"/>
    <w:rsid w:val="00FA22E2"/>
    <w:rsid w:val="00FA27A4"/>
    <w:rsid w:val="00FA2852"/>
    <w:rsid w:val="00FA29A4"/>
    <w:rsid w:val="00FA39A0"/>
    <w:rsid w:val="00FA3F89"/>
    <w:rsid w:val="00FA407A"/>
    <w:rsid w:val="00FA5277"/>
    <w:rsid w:val="00FB1CCC"/>
    <w:rsid w:val="00FB23FD"/>
    <w:rsid w:val="00FB2503"/>
    <w:rsid w:val="00FB2A89"/>
    <w:rsid w:val="00FB4000"/>
    <w:rsid w:val="00FB41D9"/>
    <w:rsid w:val="00FB4E98"/>
    <w:rsid w:val="00FB6327"/>
    <w:rsid w:val="00FB6D53"/>
    <w:rsid w:val="00FB6E1A"/>
    <w:rsid w:val="00FC0F70"/>
    <w:rsid w:val="00FC19A9"/>
    <w:rsid w:val="00FC2985"/>
    <w:rsid w:val="00FC3317"/>
    <w:rsid w:val="00FC3322"/>
    <w:rsid w:val="00FC3334"/>
    <w:rsid w:val="00FC5A62"/>
    <w:rsid w:val="00FC600B"/>
    <w:rsid w:val="00FC7631"/>
    <w:rsid w:val="00FC7EAE"/>
    <w:rsid w:val="00FD0307"/>
    <w:rsid w:val="00FD1D0A"/>
    <w:rsid w:val="00FD24DB"/>
    <w:rsid w:val="00FE171E"/>
    <w:rsid w:val="00FE3391"/>
    <w:rsid w:val="00FE3CAB"/>
    <w:rsid w:val="00FE46C0"/>
    <w:rsid w:val="00FE46E4"/>
    <w:rsid w:val="00FE4AD3"/>
    <w:rsid w:val="00FE6CE7"/>
    <w:rsid w:val="00FE6EDF"/>
    <w:rsid w:val="00FE789C"/>
    <w:rsid w:val="00FF281D"/>
    <w:rsid w:val="00FF388E"/>
    <w:rsid w:val="00FF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AA1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135"/>
  </w:style>
  <w:style w:type="paragraph" w:styleId="Heading1">
    <w:name w:val="heading 1"/>
    <w:aliases w:val="h1,l1,H1,header 1"/>
    <w:basedOn w:val="Normal"/>
    <w:next w:val="ParaText"/>
    <w:link w:val="Heading1Char"/>
    <w:uiPriority w:val="9"/>
    <w:qFormat/>
    <w:rsid w:val="00E14135"/>
    <w:pPr>
      <w:keepNext/>
      <w:numPr>
        <w:numId w:val="82"/>
      </w:numPr>
      <w:spacing w:after="240"/>
      <w:outlineLvl w:val="0"/>
    </w:pPr>
    <w:rPr>
      <w:b/>
      <w:kern w:val="28"/>
      <w:sz w:val="34"/>
    </w:rPr>
  </w:style>
  <w:style w:type="paragraph" w:styleId="Heading2">
    <w:name w:val="heading 2"/>
    <w:aliases w:val="2,h2,l2,H2,header 2"/>
    <w:basedOn w:val="Normal"/>
    <w:next w:val="ParaText"/>
    <w:link w:val="Heading2Char"/>
    <w:uiPriority w:val="9"/>
    <w:qFormat/>
    <w:rsid w:val="00E14135"/>
    <w:pPr>
      <w:keepNext/>
      <w:numPr>
        <w:ilvl w:val="1"/>
        <w:numId w:val="82"/>
      </w:numPr>
      <w:spacing w:after="240"/>
      <w:outlineLvl w:val="1"/>
    </w:pPr>
    <w:rPr>
      <w:b/>
      <w:sz w:val="30"/>
    </w:rPr>
  </w:style>
  <w:style w:type="paragraph" w:styleId="Heading3">
    <w:name w:val="heading 3"/>
    <w:aliases w:val="3,h3,l3,H3,Heading 3 Char1,h3 Char Char,Heading 3 Char Char,h3 Char"/>
    <w:basedOn w:val="Normal"/>
    <w:next w:val="ParaText"/>
    <w:link w:val="Heading3Char"/>
    <w:uiPriority w:val="9"/>
    <w:qFormat/>
    <w:rsid w:val="00A14B42"/>
    <w:pPr>
      <w:keepNext/>
      <w:numPr>
        <w:ilvl w:val="2"/>
        <w:numId w:val="82"/>
      </w:numPr>
      <w:spacing w:after="240"/>
      <w:outlineLvl w:val="2"/>
    </w:pPr>
    <w:rPr>
      <w:rFonts w:eastAsia="Calibri"/>
      <w:b/>
      <w:sz w:val="26"/>
    </w:rPr>
  </w:style>
  <w:style w:type="paragraph" w:styleId="Heading4">
    <w:name w:val="heading 4"/>
    <w:aliases w:val="h4,l4,H4"/>
    <w:basedOn w:val="Normal"/>
    <w:next w:val="ParaText"/>
    <w:link w:val="Heading4Char"/>
    <w:uiPriority w:val="9"/>
    <w:qFormat/>
    <w:rsid w:val="00E14135"/>
    <w:pPr>
      <w:keepNext/>
      <w:numPr>
        <w:ilvl w:val="3"/>
        <w:numId w:val="82"/>
      </w:numPr>
      <w:spacing w:after="240"/>
      <w:outlineLvl w:val="3"/>
    </w:pPr>
    <w:rPr>
      <w:b/>
    </w:rPr>
  </w:style>
  <w:style w:type="paragraph" w:styleId="Heading5">
    <w:name w:val="heading 5"/>
    <w:aliases w:val="h5,l5,H5"/>
    <w:basedOn w:val="Normal"/>
    <w:next w:val="ParaText"/>
    <w:link w:val="Heading5Char"/>
    <w:uiPriority w:val="9"/>
    <w:qFormat/>
    <w:rsid w:val="00E14135"/>
    <w:pPr>
      <w:keepNext/>
      <w:numPr>
        <w:ilvl w:val="4"/>
        <w:numId w:val="82"/>
      </w:numPr>
      <w:spacing w:after="240"/>
      <w:outlineLvl w:val="4"/>
    </w:pPr>
    <w:rPr>
      <w:b/>
    </w:rPr>
  </w:style>
  <w:style w:type="paragraph" w:styleId="Heading6">
    <w:name w:val="heading 6"/>
    <w:basedOn w:val="Normal"/>
    <w:next w:val="ParaText"/>
    <w:link w:val="Heading6Char"/>
    <w:uiPriority w:val="9"/>
    <w:qFormat/>
    <w:rsid w:val="00E14135"/>
    <w:pPr>
      <w:spacing w:after="240"/>
      <w:outlineLvl w:val="5"/>
    </w:pPr>
    <w:rPr>
      <w:b/>
      <w:sz w:val="32"/>
    </w:rPr>
  </w:style>
  <w:style w:type="paragraph" w:styleId="Heading7">
    <w:name w:val="heading 7"/>
    <w:basedOn w:val="Normal"/>
    <w:next w:val="ParaText"/>
    <w:link w:val="Heading7Char"/>
    <w:uiPriority w:val="9"/>
    <w:qFormat/>
    <w:rsid w:val="00E14135"/>
    <w:pPr>
      <w:spacing w:after="240"/>
      <w:outlineLvl w:val="6"/>
    </w:pPr>
    <w:rPr>
      <w:b/>
      <w:i/>
      <w:sz w:val="26"/>
    </w:rPr>
  </w:style>
  <w:style w:type="paragraph" w:styleId="Heading8">
    <w:name w:val="heading 8"/>
    <w:basedOn w:val="Normal"/>
    <w:next w:val="ParaText"/>
    <w:link w:val="Heading8Char"/>
    <w:uiPriority w:val="9"/>
    <w:qFormat/>
    <w:rsid w:val="00E14135"/>
    <w:pPr>
      <w:spacing w:after="240"/>
      <w:outlineLvl w:val="7"/>
    </w:pPr>
    <w:rPr>
      <w:b/>
    </w:rPr>
  </w:style>
  <w:style w:type="paragraph" w:styleId="Heading9">
    <w:name w:val="heading 9"/>
    <w:basedOn w:val="Normal"/>
    <w:next w:val="Normal"/>
    <w:link w:val="Heading9Char"/>
    <w:uiPriority w:val="9"/>
    <w:qFormat/>
    <w:rsid w:val="00E14135"/>
    <w:pPr>
      <w:keepNex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l1 Char,H1 Char,header 1 Char"/>
    <w:basedOn w:val="DefaultParagraphFont"/>
    <w:link w:val="Heading1"/>
    <w:uiPriority w:val="9"/>
    <w:rsid w:val="00E14135"/>
    <w:rPr>
      <w:b/>
      <w:kern w:val="28"/>
      <w:sz w:val="34"/>
    </w:rPr>
  </w:style>
  <w:style w:type="character" w:customStyle="1" w:styleId="Heading2Char">
    <w:name w:val="Heading 2 Char"/>
    <w:aliases w:val="2 Char,h2 Char,l2 Char,H2 Char,header 2 Char"/>
    <w:basedOn w:val="DefaultParagraphFont"/>
    <w:link w:val="Heading2"/>
    <w:uiPriority w:val="9"/>
    <w:rsid w:val="00E14135"/>
    <w:rPr>
      <w:b/>
      <w:sz w:val="30"/>
    </w:rPr>
  </w:style>
  <w:style w:type="character" w:customStyle="1" w:styleId="Heading3Char">
    <w:name w:val="Heading 3 Char"/>
    <w:aliases w:val="3 Char,h3 Char1,l3 Char,H3 Char,Heading 3 Char1 Char,h3 Char Char Char,Heading 3 Char Char Char,h3 Char Char1"/>
    <w:basedOn w:val="DefaultParagraphFont"/>
    <w:link w:val="Heading3"/>
    <w:uiPriority w:val="9"/>
    <w:rsid w:val="00E14135"/>
    <w:rPr>
      <w:rFonts w:eastAsia="Calibri"/>
      <w:b/>
      <w:sz w:val="26"/>
    </w:rPr>
  </w:style>
  <w:style w:type="character" w:customStyle="1" w:styleId="Heading4Char">
    <w:name w:val="Heading 4 Char"/>
    <w:aliases w:val="h4 Char,l4 Char,H4 Char"/>
    <w:basedOn w:val="DefaultParagraphFont"/>
    <w:link w:val="Heading4"/>
    <w:uiPriority w:val="9"/>
    <w:rsid w:val="00E14135"/>
    <w:rPr>
      <w:b/>
    </w:rPr>
  </w:style>
  <w:style w:type="character" w:customStyle="1" w:styleId="Heading5Char">
    <w:name w:val="Heading 5 Char"/>
    <w:aliases w:val="h5 Char,l5 Char,H5 Char"/>
    <w:basedOn w:val="DefaultParagraphFont"/>
    <w:link w:val="Heading5"/>
    <w:uiPriority w:val="9"/>
    <w:rsid w:val="00E14135"/>
    <w:rPr>
      <w:b/>
    </w:rPr>
  </w:style>
  <w:style w:type="character" w:customStyle="1" w:styleId="Heading6Char">
    <w:name w:val="Heading 6 Char"/>
    <w:basedOn w:val="DefaultParagraphFont"/>
    <w:link w:val="Heading6"/>
    <w:uiPriority w:val="9"/>
    <w:rsid w:val="00E14135"/>
    <w:rPr>
      <w:b/>
      <w:sz w:val="32"/>
    </w:rPr>
  </w:style>
  <w:style w:type="character" w:customStyle="1" w:styleId="Heading7Char">
    <w:name w:val="Heading 7 Char"/>
    <w:basedOn w:val="DefaultParagraphFont"/>
    <w:link w:val="Heading7"/>
    <w:uiPriority w:val="9"/>
    <w:rsid w:val="00E14135"/>
    <w:rPr>
      <w:b/>
      <w:i/>
      <w:sz w:val="26"/>
    </w:rPr>
  </w:style>
  <w:style w:type="character" w:customStyle="1" w:styleId="Heading8Char">
    <w:name w:val="Heading 8 Char"/>
    <w:basedOn w:val="DefaultParagraphFont"/>
    <w:link w:val="Heading8"/>
    <w:uiPriority w:val="9"/>
    <w:rsid w:val="00E14135"/>
    <w:rPr>
      <w:b/>
    </w:rPr>
  </w:style>
  <w:style w:type="character" w:customStyle="1" w:styleId="Heading9Char">
    <w:name w:val="Heading 9 Char"/>
    <w:basedOn w:val="DefaultParagraphFont"/>
    <w:link w:val="Heading9"/>
    <w:uiPriority w:val="9"/>
    <w:rsid w:val="00E14135"/>
    <w:rPr>
      <w:b/>
      <w:bCs/>
      <w:sz w:val="32"/>
    </w:rPr>
  </w:style>
  <w:style w:type="paragraph" w:customStyle="1" w:styleId="ParaText">
    <w:name w:val="ParaText"/>
    <w:basedOn w:val="Normal"/>
    <w:link w:val="ParaTextChar1"/>
    <w:rsid w:val="00E14135"/>
    <w:pPr>
      <w:spacing w:after="240" w:line="300" w:lineRule="auto"/>
    </w:pPr>
  </w:style>
  <w:style w:type="character" w:customStyle="1" w:styleId="ParaTextChar1">
    <w:name w:val="ParaText Char1"/>
    <w:link w:val="ParaText"/>
    <w:rsid w:val="00E14135"/>
  </w:style>
  <w:style w:type="paragraph" w:styleId="Header">
    <w:name w:val="header"/>
    <w:basedOn w:val="Normal"/>
    <w:link w:val="HeaderChar"/>
    <w:qFormat/>
    <w:rsid w:val="00E14135"/>
    <w:pPr>
      <w:tabs>
        <w:tab w:val="center" w:pos="4320"/>
        <w:tab w:val="right" w:pos="8640"/>
      </w:tabs>
    </w:pPr>
    <w:rPr>
      <w:b/>
    </w:rPr>
  </w:style>
  <w:style w:type="character" w:customStyle="1" w:styleId="HeaderChar">
    <w:name w:val="Header Char"/>
    <w:basedOn w:val="DefaultParagraphFont"/>
    <w:link w:val="Header"/>
    <w:rsid w:val="00E14135"/>
    <w:rPr>
      <w:b/>
    </w:rPr>
  </w:style>
  <w:style w:type="paragraph" w:styleId="Footer">
    <w:name w:val="footer"/>
    <w:basedOn w:val="Normal"/>
    <w:link w:val="FooterChar"/>
    <w:uiPriority w:val="99"/>
    <w:rsid w:val="00E14135"/>
    <w:pPr>
      <w:pBdr>
        <w:top w:val="single" w:sz="12" w:space="1" w:color="auto"/>
      </w:pBdr>
      <w:tabs>
        <w:tab w:val="right" w:pos="9360"/>
      </w:tabs>
      <w:spacing w:after="0"/>
    </w:pPr>
    <w:rPr>
      <w:i/>
      <w:sz w:val="18"/>
    </w:rPr>
  </w:style>
  <w:style w:type="character" w:customStyle="1" w:styleId="FooterChar">
    <w:name w:val="Footer Char"/>
    <w:basedOn w:val="DefaultParagraphFont"/>
    <w:link w:val="Footer"/>
    <w:uiPriority w:val="99"/>
    <w:rsid w:val="00E14135"/>
    <w:rPr>
      <w:i/>
      <w:sz w:val="18"/>
    </w:rPr>
  </w:style>
  <w:style w:type="character" w:styleId="PageNumber">
    <w:name w:val="page number"/>
    <w:basedOn w:val="DefaultParagraphFont"/>
    <w:rsid w:val="00E14135"/>
  </w:style>
  <w:style w:type="paragraph" w:styleId="TOC1">
    <w:name w:val="toc 1"/>
    <w:basedOn w:val="Normal"/>
    <w:next w:val="Normal"/>
    <w:uiPriority w:val="39"/>
    <w:rsid w:val="00E14135"/>
    <w:pPr>
      <w:tabs>
        <w:tab w:val="left" w:pos="432"/>
        <w:tab w:val="right" w:leader="dot" w:pos="9360"/>
      </w:tabs>
      <w:ind w:left="432" w:hanging="432"/>
    </w:pPr>
    <w:rPr>
      <w:rFonts w:cs="Arial"/>
      <w:b/>
      <w:noProof/>
    </w:rPr>
  </w:style>
  <w:style w:type="paragraph" w:customStyle="1" w:styleId="TOCTitle">
    <w:name w:val="TOC Title"/>
    <w:basedOn w:val="Header"/>
    <w:rsid w:val="00E14135"/>
    <w:pPr>
      <w:pBdr>
        <w:top w:val="single" w:sz="12" w:space="18" w:color="auto"/>
        <w:bottom w:val="single" w:sz="4" w:space="21" w:color="auto"/>
      </w:pBdr>
      <w:spacing w:before="240" w:after="240"/>
    </w:pPr>
    <w:rPr>
      <w:sz w:val="42"/>
    </w:rPr>
  </w:style>
  <w:style w:type="paragraph" w:styleId="TOC9">
    <w:name w:val="toc 9"/>
    <w:basedOn w:val="Normal"/>
    <w:next w:val="Normal"/>
    <w:autoRedefine/>
    <w:uiPriority w:val="39"/>
    <w:rsid w:val="00E14135"/>
    <w:pPr>
      <w:tabs>
        <w:tab w:val="right" w:leader="dot" w:pos="9360"/>
      </w:tabs>
    </w:pPr>
    <w:rPr>
      <w:rFonts w:cs="Arial"/>
      <w:noProof/>
    </w:rPr>
  </w:style>
  <w:style w:type="paragraph" w:customStyle="1" w:styleId="ExhLst">
    <w:name w:val="Exh_Lst"/>
    <w:basedOn w:val="Normal"/>
    <w:rsid w:val="00E14135"/>
    <w:pPr>
      <w:spacing w:after="240"/>
    </w:pPr>
    <w:rPr>
      <w:b/>
      <w:u w:val="single"/>
    </w:rPr>
  </w:style>
  <w:style w:type="paragraph" w:customStyle="1" w:styleId="1">
    <w:name w:val="1"/>
    <w:aliases w:val="a,i Seq"/>
    <w:basedOn w:val="Normal"/>
    <w:rsid w:val="00E14135"/>
    <w:pPr>
      <w:numPr>
        <w:numId w:val="7"/>
      </w:numPr>
      <w:tabs>
        <w:tab w:val="left" w:pos="1800"/>
        <w:tab w:val="left" w:pos="2160"/>
        <w:tab w:val="left" w:pos="2520"/>
      </w:tabs>
      <w:spacing w:after="240" w:line="300" w:lineRule="auto"/>
    </w:pPr>
  </w:style>
  <w:style w:type="paragraph" w:customStyle="1" w:styleId="Bullet1">
    <w:name w:val="Bullet1"/>
    <w:basedOn w:val="Normal"/>
    <w:link w:val="Bullet1Char"/>
    <w:rsid w:val="00E14135"/>
    <w:pPr>
      <w:numPr>
        <w:numId w:val="1"/>
      </w:numPr>
      <w:spacing w:after="0" w:line="300" w:lineRule="auto"/>
    </w:pPr>
  </w:style>
  <w:style w:type="character" w:customStyle="1" w:styleId="Bullet1Char">
    <w:name w:val="Bullet1 Char"/>
    <w:link w:val="Bullet1"/>
    <w:rsid w:val="00E14135"/>
  </w:style>
  <w:style w:type="paragraph" w:customStyle="1" w:styleId="Bullet1HRt">
    <w:name w:val="Bullet1[HRt]"/>
    <w:basedOn w:val="Normal"/>
    <w:link w:val="Bullet1HRtChar"/>
    <w:rsid w:val="00E14135"/>
    <w:pPr>
      <w:numPr>
        <w:numId w:val="2"/>
      </w:numPr>
      <w:spacing w:after="240" w:line="300" w:lineRule="auto"/>
    </w:pPr>
  </w:style>
  <w:style w:type="character" w:customStyle="1" w:styleId="Bullet1HRtChar">
    <w:name w:val="Bullet1[HRt] Char"/>
    <w:link w:val="Bullet1HRt"/>
    <w:rsid w:val="00E14135"/>
  </w:style>
  <w:style w:type="paragraph" w:customStyle="1" w:styleId="Bullet2">
    <w:name w:val="Bullet2"/>
    <w:basedOn w:val="Normal"/>
    <w:rsid w:val="00E14135"/>
    <w:pPr>
      <w:numPr>
        <w:numId w:val="3"/>
      </w:numPr>
      <w:spacing w:after="0" w:line="300" w:lineRule="auto"/>
    </w:pPr>
  </w:style>
  <w:style w:type="paragraph" w:customStyle="1" w:styleId="Bullet2HRt">
    <w:name w:val="Bullet2[HRt]"/>
    <w:basedOn w:val="Bullet2"/>
    <w:rsid w:val="00E14135"/>
    <w:pPr>
      <w:numPr>
        <w:numId w:val="4"/>
      </w:numPr>
      <w:spacing w:after="240"/>
    </w:pPr>
  </w:style>
  <w:style w:type="paragraph" w:customStyle="1" w:styleId="Exhibit">
    <w:name w:val="Exhibit"/>
    <w:basedOn w:val="Normal"/>
    <w:next w:val="Normal"/>
    <w:rsid w:val="00E14135"/>
    <w:pPr>
      <w:spacing w:after="240"/>
    </w:pPr>
    <w:rPr>
      <w:b/>
    </w:rPr>
  </w:style>
  <w:style w:type="paragraph" w:styleId="TableofFigures">
    <w:name w:val="table of figures"/>
    <w:basedOn w:val="Normal"/>
    <w:next w:val="Normal"/>
    <w:uiPriority w:val="99"/>
    <w:rsid w:val="00E14135"/>
    <w:pPr>
      <w:ind w:left="440" w:hanging="440"/>
    </w:pPr>
  </w:style>
  <w:style w:type="paragraph" w:styleId="TOC2">
    <w:name w:val="toc 2"/>
    <w:basedOn w:val="Normal"/>
    <w:next w:val="Normal"/>
    <w:autoRedefine/>
    <w:uiPriority w:val="39"/>
    <w:rsid w:val="00E14135"/>
    <w:pPr>
      <w:tabs>
        <w:tab w:val="left" w:pos="1008"/>
        <w:tab w:val="right" w:leader="dot" w:pos="9360"/>
      </w:tabs>
      <w:ind w:left="1440" w:hanging="1008"/>
    </w:pPr>
    <w:rPr>
      <w:noProof/>
    </w:rPr>
  </w:style>
  <w:style w:type="paragraph" w:styleId="TOC3">
    <w:name w:val="toc 3"/>
    <w:basedOn w:val="Normal"/>
    <w:next w:val="Normal"/>
    <w:autoRedefine/>
    <w:uiPriority w:val="39"/>
    <w:rsid w:val="00E14135"/>
    <w:pPr>
      <w:tabs>
        <w:tab w:val="left" w:pos="1440"/>
        <w:tab w:val="left" w:pos="1728"/>
        <w:tab w:val="right" w:leader="dot" w:pos="9360"/>
      </w:tabs>
      <w:ind w:left="2448" w:hanging="1008"/>
    </w:pPr>
    <w:rPr>
      <w:noProof/>
    </w:rPr>
  </w:style>
  <w:style w:type="paragraph" w:styleId="TOC4">
    <w:name w:val="toc 4"/>
    <w:basedOn w:val="Normal"/>
    <w:next w:val="Normal"/>
    <w:autoRedefine/>
    <w:uiPriority w:val="39"/>
    <w:rsid w:val="00E14135"/>
    <w:pPr>
      <w:tabs>
        <w:tab w:val="left" w:pos="2592"/>
        <w:tab w:val="right" w:leader="dot" w:pos="9360"/>
      </w:tabs>
      <w:ind w:left="-810" w:firstLine="2538"/>
    </w:pPr>
    <w:rPr>
      <w:noProof/>
    </w:rPr>
  </w:style>
  <w:style w:type="paragraph" w:styleId="TOC5">
    <w:name w:val="toc 5"/>
    <w:basedOn w:val="Normal"/>
    <w:next w:val="Normal"/>
    <w:autoRedefine/>
    <w:uiPriority w:val="39"/>
    <w:rsid w:val="00E14135"/>
    <w:pPr>
      <w:tabs>
        <w:tab w:val="left" w:pos="2736"/>
        <w:tab w:val="left" w:pos="3672"/>
        <w:tab w:val="right" w:leader="dot" w:pos="9360"/>
      </w:tabs>
      <w:ind w:left="-1350" w:firstLine="3942"/>
    </w:pPr>
    <w:rPr>
      <w:noProof/>
    </w:rPr>
  </w:style>
  <w:style w:type="paragraph" w:styleId="TOC6">
    <w:name w:val="toc 6"/>
    <w:basedOn w:val="Normal"/>
    <w:next w:val="Normal"/>
    <w:autoRedefine/>
    <w:uiPriority w:val="39"/>
    <w:rsid w:val="00E14135"/>
    <w:pPr>
      <w:ind w:left="1100"/>
    </w:pPr>
  </w:style>
  <w:style w:type="paragraph" w:styleId="TOC7">
    <w:name w:val="toc 7"/>
    <w:basedOn w:val="Normal"/>
    <w:next w:val="Normal"/>
    <w:autoRedefine/>
    <w:uiPriority w:val="39"/>
    <w:rsid w:val="00E14135"/>
    <w:pPr>
      <w:tabs>
        <w:tab w:val="right" w:leader="dot" w:pos="9360"/>
      </w:tabs>
    </w:pPr>
    <w:rPr>
      <w:b/>
      <w:noProof/>
    </w:rPr>
  </w:style>
  <w:style w:type="paragraph" w:styleId="TOC8">
    <w:name w:val="toc 8"/>
    <w:basedOn w:val="Normal"/>
    <w:next w:val="Normal"/>
    <w:autoRedefine/>
    <w:uiPriority w:val="39"/>
    <w:rsid w:val="00E14135"/>
    <w:pPr>
      <w:ind w:left="1540"/>
    </w:pPr>
  </w:style>
  <w:style w:type="paragraph" w:styleId="Caption">
    <w:name w:val="caption"/>
    <w:basedOn w:val="Normal"/>
    <w:next w:val="ParaText"/>
    <w:autoRedefine/>
    <w:uiPriority w:val="1"/>
    <w:qFormat/>
    <w:rsid w:val="00E14135"/>
    <w:pPr>
      <w:keepNext/>
      <w:spacing w:before="120"/>
      <w:jc w:val="center"/>
    </w:pPr>
    <w:rPr>
      <w:b/>
    </w:rPr>
  </w:style>
  <w:style w:type="paragraph" w:styleId="Title">
    <w:name w:val="Title"/>
    <w:basedOn w:val="Normal"/>
    <w:next w:val="Subtitle"/>
    <w:link w:val="TitleChar"/>
    <w:uiPriority w:val="10"/>
    <w:qFormat/>
    <w:rsid w:val="00E14135"/>
    <w:pPr>
      <w:keepNext/>
      <w:keepLines/>
      <w:tabs>
        <w:tab w:val="left" w:pos="576"/>
      </w:tabs>
      <w:spacing w:before="240" w:after="240"/>
      <w:jc w:val="center"/>
    </w:pPr>
    <w:rPr>
      <w:kern w:val="28"/>
      <w:sz w:val="48"/>
    </w:rPr>
  </w:style>
  <w:style w:type="character" w:customStyle="1" w:styleId="TitleChar">
    <w:name w:val="Title Char"/>
    <w:basedOn w:val="DefaultParagraphFont"/>
    <w:link w:val="Title"/>
    <w:uiPriority w:val="10"/>
    <w:rsid w:val="00E14135"/>
    <w:rPr>
      <w:kern w:val="28"/>
      <w:sz w:val="48"/>
    </w:rPr>
  </w:style>
  <w:style w:type="paragraph" w:styleId="Subtitle">
    <w:name w:val="Subtitle"/>
    <w:basedOn w:val="Normal"/>
    <w:link w:val="SubtitleChar"/>
    <w:uiPriority w:val="11"/>
    <w:qFormat/>
    <w:rsid w:val="00E14135"/>
    <w:pPr>
      <w:spacing w:after="60"/>
      <w:jc w:val="center"/>
      <w:outlineLvl w:val="1"/>
    </w:pPr>
    <w:rPr>
      <w:rFonts w:cs="Arial"/>
      <w:sz w:val="24"/>
      <w:szCs w:val="24"/>
    </w:rPr>
  </w:style>
  <w:style w:type="character" w:customStyle="1" w:styleId="SubtitleChar">
    <w:name w:val="Subtitle Char"/>
    <w:basedOn w:val="DefaultParagraphFont"/>
    <w:link w:val="Subtitle"/>
    <w:uiPriority w:val="11"/>
    <w:rsid w:val="00E14135"/>
    <w:rPr>
      <w:rFonts w:cs="Arial"/>
      <w:sz w:val="24"/>
      <w:szCs w:val="24"/>
    </w:rPr>
  </w:style>
  <w:style w:type="character" w:styleId="Hyperlink">
    <w:name w:val="Hyperlink"/>
    <w:uiPriority w:val="99"/>
    <w:rsid w:val="00E14135"/>
    <w:rPr>
      <w:color w:val="0000FF"/>
      <w:u w:val="single"/>
    </w:rPr>
  </w:style>
  <w:style w:type="paragraph" w:customStyle="1" w:styleId="Bullet3">
    <w:name w:val="Bullet3"/>
    <w:basedOn w:val="Normal"/>
    <w:rsid w:val="00E14135"/>
    <w:pPr>
      <w:numPr>
        <w:numId w:val="6"/>
      </w:numPr>
      <w:tabs>
        <w:tab w:val="clear" w:pos="1080"/>
        <w:tab w:val="num" w:pos="1440"/>
      </w:tabs>
      <w:ind w:left="1440"/>
    </w:pPr>
  </w:style>
  <w:style w:type="paragraph" w:customStyle="1" w:styleId="Bullet3HRt">
    <w:name w:val="Bullet3[HRt]"/>
    <w:basedOn w:val="Bullet3"/>
    <w:rsid w:val="00E14135"/>
    <w:pPr>
      <w:numPr>
        <w:ilvl w:val="1"/>
      </w:numPr>
      <w:spacing w:after="240" w:line="300" w:lineRule="auto"/>
    </w:pPr>
  </w:style>
  <w:style w:type="paragraph" w:customStyle="1" w:styleId="TableCaption">
    <w:name w:val="Table Caption"/>
    <w:basedOn w:val="Caption"/>
    <w:next w:val="Normal"/>
    <w:rsid w:val="00E14135"/>
    <w:pPr>
      <w:keepLines/>
      <w:widowControl w:val="0"/>
      <w:suppressAutoHyphens/>
    </w:pPr>
    <w:rPr>
      <w:rFonts w:ascii="Times New Roman" w:hAnsi="Times New Roman"/>
      <w:i/>
      <w:kern w:val="16"/>
      <w:sz w:val="24"/>
    </w:rPr>
  </w:style>
  <w:style w:type="paragraph" w:styleId="FootnoteText">
    <w:name w:val="footnote text"/>
    <w:aliases w:val="ft,fn,Footnote Text Char1,Footnote Text Char Char,Footnote Text Char1 Char,Footnote Text Char Char Char,Footnote Text Char Char1 Char,Footnote Text Char Char1,Footnote Text Char1 Char Char Char1 Char Char,fn Char,Footnote Text Char2 Char"/>
    <w:basedOn w:val="Normal"/>
    <w:link w:val="FootnoteTextChar2"/>
    <w:uiPriority w:val="99"/>
    <w:qFormat/>
    <w:rsid w:val="00E14135"/>
    <w:pPr>
      <w:suppressAutoHyphens/>
      <w:spacing w:before="50" w:after="0"/>
      <w:ind w:left="216" w:hanging="216"/>
    </w:pPr>
    <w:rPr>
      <w:kern w:val="16"/>
      <w:sz w:val="18"/>
    </w:rPr>
  </w:style>
  <w:style w:type="character" w:customStyle="1" w:styleId="FootnoteTextChar">
    <w:name w:val="Footnote Text Char"/>
    <w:basedOn w:val="DefaultParagraphFont"/>
    <w:uiPriority w:val="99"/>
    <w:semiHidden/>
    <w:rsid w:val="00E14135"/>
    <w:rPr>
      <w:sz w:val="20"/>
      <w:szCs w:val="20"/>
    </w:rPr>
  </w:style>
  <w:style w:type="character" w:customStyle="1" w:styleId="FootnoteTextChar2">
    <w:name w:val="Footnote Text Char2"/>
    <w:aliases w:val="ft Char,fn Char1,Footnote Text Char1 Char1,Footnote Text Char Char Char1,Footnote Text Char1 Char Char,Footnote Text Char Char Char Char,Footnote Text Char Char1 Char Char,Footnote Text Char Char1 Char1,fn Char Char"/>
    <w:link w:val="FootnoteText"/>
    <w:rsid w:val="00E14135"/>
    <w:rPr>
      <w:kern w:val="16"/>
      <w:sz w:val="18"/>
    </w:rPr>
  </w:style>
  <w:style w:type="character" w:styleId="FootnoteReference">
    <w:name w:val="footnote reference"/>
    <w:aliases w:val="o,fr,o1,o2,o3,o4,o5,o6,o11,o21,o7,Footnote,Style 17,Style 13,Style 12,Style 15,Style 9,fr1,fr2,fr3,Style 18,(NECG) Footnote Reference,Style 20,Style 7,Style 8,Style 19,Style 28,Style 11,Style 16,Styl,o + Times New Roman,.,fnr"/>
    <w:uiPriority w:val="99"/>
    <w:qFormat/>
    <w:rsid w:val="00E14135"/>
    <w:rPr>
      <w:vertAlign w:val="superscript"/>
    </w:rPr>
  </w:style>
  <w:style w:type="character" w:styleId="CommentReference">
    <w:name w:val="annotation reference"/>
    <w:uiPriority w:val="99"/>
    <w:rsid w:val="00E14135"/>
    <w:rPr>
      <w:sz w:val="16"/>
      <w:szCs w:val="16"/>
    </w:rPr>
  </w:style>
  <w:style w:type="paragraph" w:customStyle="1" w:styleId="Paragraph">
    <w:name w:val="Paragraph"/>
    <w:basedOn w:val="Normal"/>
    <w:link w:val="ParagraphChar"/>
    <w:qFormat/>
    <w:rsid w:val="00E14135"/>
    <w:pPr>
      <w:suppressAutoHyphens/>
      <w:spacing w:before="120" w:after="0"/>
    </w:pPr>
    <w:rPr>
      <w:rFonts w:ascii="Times New Roman" w:hAnsi="Times New Roman"/>
      <w:kern w:val="16"/>
      <w:sz w:val="24"/>
    </w:rPr>
  </w:style>
  <w:style w:type="character" w:customStyle="1" w:styleId="ParagraphChar">
    <w:name w:val="Paragraph Char"/>
    <w:link w:val="Paragraph"/>
    <w:rsid w:val="00E14135"/>
    <w:rPr>
      <w:rFonts w:ascii="Times New Roman" w:hAnsi="Times New Roman"/>
      <w:kern w:val="16"/>
      <w:sz w:val="24"/>
    </w:rPr>
  </w:style>
  <w:style w:type="paragraph" w:styleId="CommentText">
    <w:name w:val="annotation text"/>
    <w:basedOn w:val="Normal"/>
    <w:link w:val="CommentTextChar"/>
    <w:uiPriority w:val="99"/>
    <w:rsid w:val="00E14135"/>
    <w:rPr>
      <w:sz w:val="20"/>
    </w:rPr>
  </w:style>
  <w:style w:type="character" w:customStyle="1" w:styleId="CommentTextChar">
    <w:name w:val="Comment Text Char"/>
    <w:basedOn w:val="DefaultParagraphFont"/>
    <w:link w:val="CommentText"/>
    <w:uiPriority w:val="99"/>
    <w:rsid w:val="00E14135"/>
    <w:rPr>
      <w:sz w:val="20"/>
    </w:rPr>
  </w:style>
  <w:style w:type="character" w:customStyle="1" w:styleId="ParaTextChar">
    <w:name w:val="ParaText Char"/>
    <w:rsid w:val="00E14135"/>
    <w:rPr>
      <w:rFonts w:ascii="Arial" w:hAnsi="Arial"/>
      <w:sz w:val="22"/>
      <w:lang w:val="en-US" w:eastAsia="en-US" w:bidi="ar-SA"/>
    </w:rPr>
  </w:style>
  <w:style w:type="paragraph" w:styleId="BalloonText">
    <w:name w:val="Balloon Text"/>
    <w:basedOn w:val="Normal"/>
    <w:link w:val="BalloonTextChar"/>
    <w:uiPriority w:val="99"/>
    <w:semiHidden/>
    <w:rsid w:val="00E14135"/>
    <w:rPr>
      <w:rFonts w:ascii="Tahoma" w:hAnsi="Tahoma" w:cs="Tahoma"/>
      <w:sz w:val="16"/>
      <w:szCs w:val="16"/>
    </w:rPr>
  </w:style>
  <w:style w:type="character" w:customStyle="1" w:styleId="BalloonTextChar">
    <w:name w:val="Balloon Text Char"/>
    <w:basedOn w:val="DefaultParagraphFont"/>
    <w:link w:val="BalloonText"/>
    <w:uiPriority w:val="99"/>
    <w:semiHidden/>
    <w:rsid w:val="00E14135"/>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14135"/>
    <w:rPr>
      <w:b/>
      <w:bCs/>
    </w:rPr>
  </w:style>
  <w:style w:type="character" w:customStyle="1" w:styleId="CommentSubjectChar">
    <w:name w:val="Comment Subject Char"/>
    <w:basedOn w:val="CommentTextChar"/>
    <w:link w:val="CommentSubject"/>
    <w:uiPriority w:val="99"/>
    <w:semiHidden/>
    <w:rsid w:val="00E14135"/>
    <w:rPr>
      <w:b/>
      <w:bCs/>
      <w:sz w:val="20"/>
    </w:rPr>
  </w:style>
  <w:style w:type="table" w:styleId="TableGrid">
    <w:name w:val="Table Grid"/>
    <w:basedOn w:val="TableNormal"/>
    <w:rsid w:val="00E14135"/>
    <w:pPr>
      <w:spacing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14135"/>
    <w:rPr>
      <w:color w:val="0000FF"/>
      <w:spacing w:val="0"/>
      <w:u w:val="double"/>
    </w:rPr>
  </w:style>
  <w:style w:type="paragraph" w:styleId="DocumentMap">
    <w:name w:val="Document Map"/>
    <w:basedOn w:val="Normal"/>
    <w:link w:val="DocumentMapChar"/>
    <w:semiHidden/>
    <w:rsid w:val="00E14135"/>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E14135"/>
    <w:rPr>
      <w:rFonts w:ascii="Tahoma" w:hAnsi="Tahoma" w:cs="Tahoma"/>
      <w:sz w:val="20"/>
      <w:shd w:val="clear" w:color="auto" w:fill="000080"/>
    </w:rPr>
  </w:style>
  <w:style w:type="paragraph" w:customStyle="1" w:styleId="BPM">
    <w:name w:val="BPM"/>
    <w:basedOn w:val="ParaText"/>
    <w:link w:val="BPMChar"/>
    <w:qFormat/>
    <w:rsid w:val="00E14135"/>
    <w:rPr>
      <w:rFonts w:cs="Arial"/>
    </w:rPr>
  </w:style>
  <w:style w:type="character" w:customStyle="1" w:styleId="BPMChar">
    <w:name w:val="BPM Char"/>
    <w:link w:val="BPM"/>
    <w:rsid w:val="00E14135"/>
    <w:rPr>
      <w:rFonts w:cs="Arial"/>
    </w:rPr>
  </w:style>
  <w:style w:type="paragraph" w:styleId="ListParagraph">
    <w:name w:val="List Paragraph"/>
    <w:basedOn w:val="Normal"/>
    <w:link w:val="ListParagraphChar"/>
    <w:uiPriority w:val="34"/>
    <w:qFormat/>
    <w:rsid w:val="00E14135"/>
    <w:pPr>
      <w:ind w:left="720"/>
    </w:pPr>
  </w:style>
  <w:style w:type="paragraph" w:customStyle="1" w:styleId="BPM2">
    <w:name w:val="BPM2"/>
    <w:basedOn w:val="Bullet1HRt"/>
    <w:link w:val="BPM2Char"/>
    <w:qFormat/>
    <w:rsid w:val="00E14135"/>
    <w:rPr>
      <w:rFonts w:cs="Arial"/>
    </w:rPr>
  </w:style>
  <w:style w:type="character" w:customStyle="1" w:styleId="BPM2Char">
    <w:name w:val="BPM2 Char"/>
    <w:link w:val="BPM2"/>
    <w:rsid w:val="00E14135"/>
    <w:rPr>
      <w:rFonts w:cs="Arial"/>
    </w:rPr>
  </w:style>
  <w:style w:type="paragraph" w:customStyle="1" w:styleId="BPM3">
    <w:name w:val="BPM 3"/>
    <w:basedOn w:val="Heading4"/>
    <w:link w:val="BPM3Char"/>
    <w:qFormat/>
    <w:rsid w:val="00E14135"/>
    <w:rPr>
      <w:rFonts w:cs="Arial"/>
    </w:rPr>
  </w:style>
  <w:style w:type="character" w:customStyle="1" w:styleId="BPM3Char">
    <w:name w:val="BPM 3 Char"/>
    <w:link w:val="BPM3"/>
    <w:rsid w:val="00E14135"/>
    <w:rPr>
      <w:rFonts w:cs="Arial"/>
      <w:b/>
    </w:rPr>
  </w:style>
  <w:style w:type="paragraph" w:customStyle="1" w:styleId="BPM1">
    <w:name w:val="BPM1"/>
    <w:basedOn w:val="Heading2"/>
    <w:link w:val="BPM1Char"/>
    <w:qFormat/>
    <w:rsid w:val="00E14135"/>
    <w:rPr>
      <w:rFonts w:cs="Arial"/>
    </w:rPr>
  </w:style>
  <w:style w:type="character" w:customStyle="1" w:styleId="BPM1Char">
    <w:name w:val="BPM1 Char"/>
    <w:link w:val="BPM1"/>
    <w:rsid w:val="00E14135"/>
    <w:rPr>
      <w:rFonts w:cs="Arial"/>
      <w:b/>
      <w:sz w:val="30"/>
    </w:rPr>
  </w:style>
  <w:style w:type="paragraph" w:customStyle="1" w:styleId="Style1">
    <w:name w:val="Style1"/>
    <w:basedOn w:val="Heading4"/>
    <w:link w:val="Style1Char"/>
    <w:qFormat/>
    <w:rsid w:val="00E14135"/>
    <w:rPr>
      <w:rFonts w:cs="Arial"/>
    </w:rPr>
  </w:style>
  <w:style w:type="character" w:customStyle="1" w:styleId="Style1Char">
    <w:name w:val="Style1 Char"/>
    <w:link w:val="Style1"/>
    <w:rsid w:val="00E14135"/>
    <w:rPr>
      <w:rFonts w:cs="Arial"/>
      <w:b/>
    </w:rPr>
  </w:style>
  <w:style w:type="paragraph" w:customStyle="1" w:styleId="Style2">
    <w:name w:val="Style2"/>
    <w:basedOn w:val="Heading3"/>
    <w:link w:val="Style2Char"/>
    <w:qFormat/>
    <w:rsid w:val="00E14135"/>
    <w:rPr>
      <w:rFonts w:cs="Arial"/>
    </w:rPr>
  </w:style>
  <w:style w:type="character" w:customStyle="1" w:styleId="Style2Char">
    <w:name w:val="Style2 Char"/>
    <w:link w:val="Style2"/>
    <w:rsid w:val="00E14135"/>
    <w:rPr>
      <w:rFonts w:cs="Arial"/>
      <w:b/>
      <w:sz w:val="26"/>
    </w:rPr>
  </w:style>
  <w:style w:type="paragraph" w:customStyle="1" w:styleId="Style3">
    <w:name w:val="Style3"/>
    <w:basedOn w:val="ParaText"/>
    <w:link w:val="Style3Char"/>
    <w:qFormat/>
    <w:rsid w:val="00E14135"/>
    <w:rPr>
      <w:rFonts w:cs="Arial"/>
    </w:rPr>
  </w:style>
  <w:style w:type="character" w:customStyle="1" w:styleId="Style3Char">
    <w:name w:val="Style3 Char"/>
    <w:link w:val="Style3"/>
    <w:rsid w:val="00E14135"/>
    <w:rPr>
      <w:rFonts w:cs="Arial"/>
    </w:rPr>
  </w:style>
  <w:style w:type="paragraph" w:customStyle="1" w:styleId="Style4">
    <w:name w:val="Style4"/>
    <w:basedOn w:val="ParaText"/>
    <w:link w:val="Style4Char"/>
    <w:qFormat/>
    <w:rsid w:val="00E14135"/>
    <w:pPr>
      <w:spacing w:before="120" w:after="0"/>
    </w:pPr>
    <w:rPr>
      <w:rFonts w:cs="Arial"/>
    </w:rPr>
  </w:style>
  <w:style w:type="character" w:customStyle="1" w:styleId="Style4Char">
    <w:name w:val="Style4 Char"/>
    <w:link w:val="Style4"/>
    <w:rsid w:val="00E14135"/>
    <w:rPr>
      <w:rFonts w:cs="Arial"/>
    </w:rPr>
  </w:style>
  <w:style w:type="paragraph" w:customStyle="1" w:styleId="Style5">
    <w:name w:val="Style5"/>
    <w:basedOn w:val="ParaText"/>
    <w:link w:val="Style5Char"/>
    <w:qFormat/>
    <w:rsid w:val="00E14135"/>
    <w:rPr>
      <w:rFonts w:cs="Arial"/>
    </w:rPr>
  </w:style>
  <w:style w:type="character" w:customStyle="1" w:styleId="Style5Char">
    <w:name w:val="Style5 Char"/>
    <w:link w:val="Style5"/>
    <w:rsid w:val="00E14135"/>
    <w:rPr>
      <w:rFonts w:cs="Arial"/>
    </w:rPr>
  </w:style>
  <w:style w:type="character" w:customStyle="1" w:styleId="tx1">
    <w:name w:val="tx1"/>
    <w:rsid w:val="00E14135"/>
    <w:rPr>
      <w:b/>
      <w:bCs/>
    </w:rPr>
  </w:style>
  <w:style w:type="paragraph" w:customStyle="1" w:styleId="Style6">
    <w:name w:val="Style6"/>
    <w:basedOn w:val="Bullet1"/>
    <w:link w:val="Style6Char"/>
    <w:qFormat/>
    <w:rsid w:val="00E14135"/>
    <w:rPr>
      <w:rFonts w:cs="Arial"/>
    </w:rPr>
  </w:style>
  <w:style w:type="character" w:customStyle="1" w:styleId="Style6Char">
    <w:name w:val="Style6 Char"/>
    <w:link w:val="Style6"/>
    <w:rsid w:val="00E14135"/>
    <w:rPr>
      <w:rFonts w:cs="Arial"/>
    </w:rPr>
  </w:style>
  <w:style w:type="paragraph" w:styleId="NoSpacing">
    <w:name w:val="No Spacing"/>
    <w:link w:val="NoSpacingChar"/>
    <w:uiPriority w:val="1"/>
    <w:qFormat/>
    <w:rsid w:val="00E14135"/>
    <w:pPr>
      <w:spacing w:after="0" w:line="240" w:lineRule="auto"/>
      <w:jc w:val="both"/>
    </w:pPr>
    <w:rPr>
      <w:rFonts w:ascii="Arial" w:eastAsia="Times New Roman" w:hAnsi="Arial" w:cs="Times New Roman"/>
      <w:szCs w:val="20"/>
    </w:rPr>
  </w:style>
  <w:style w:type="character" w:customStyle="1" w:styleId="NoSpacingChar">
    <w:name w:val="No Spacing Char"/>
    <w:link w:val="NoSpacing"/>
    <w:uiPriority w:val="1"/>
    <w:rsid w:val="00E14135"/>
    <w:rPr>
      <w:rFonts w:ascii="Arial" w:eastAsia="Times New Roman" w:hAnsi="Arial" w:cs="Times New Roman"/>
      <w:szCs w:val="20"/>
    </w:rPr>
  </w:style>
  <w:style w:type="paragraph" w:customStyle="1" w:styleId="Default">
    <w:name w:val="Default"/>
    <w:rsid w:val="00E1413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EmailStyle151">
    <w:name w:val="EmailStyle151"/>
    <w:rsid w:val="00E14135"/>
    <w:rPr>
      <w:rFonts w:ascii="Arial" w:hAnsi="Arial" w:cs="Arial"/>
      <w:color w:val="auto"/>
      <w:sz w:val="20"/>
    </w:rPr>
  </w:style>
  <w:style w:type="paragraph" w:styleId="TOCHeading">
    <w:name w:val="TOC Heading"/>
    <w:basedOn w:val="Heading1"/>
    <w:next w:val="Normal"/>
    <w:uiPriority w:val="39"/>
    <w:unhideWhenUsed/>
    <w:qFormat/>
    <w:rsid w:val="00E14135"/>
    <w:pPr>
      <w:keepLines/>
      <w:tabs>
        <w:tab w:val="clear" w:pos="1080"/>
      </w:tabs>
      <w:spacing w:before="240" w:after="0"/>
      <w:ind w:left="720" w:hanging="360"/>
      <w:outlineLvl w:val="9"/>
    </w:pPr>
    <w:rPr>
      <w:b w:val="0"/>
      <w:color w:val="4F758B"/>
      <w:kern w:val="0"/>
      <w:sz w:val="32"/>
      <w:szCs w:val="32"/>
    </w:rPr>
  </w:style>
  <w:style w:type="paragraph" w:customStyle="1" w:styleId="ISOPolicyDraft">
    <w:name w:val="ISO Policy Draft"/>
    <w:basedOn w:val="Heading1"/>
    <w:link w:val="ISOPolicyDraftChar"/>
    <w:autoRedefine/>
    <w:rsid w:val="00E14135"/>
    <w:pPr>
      <w:keepNext w:val="0"/>
      <w:tabs>
        <w:tab w:val="clear" w:pos="1080"/>
      </w:tabs>
      <w:spacing w:before="240" w:after="0"/>
      <w:ind w:left="0" w:firstLine="0"/>
      <w:contextualSpacing/>
    </w:pPr>
    <w:rPr>
      <w:rFonts w:ascii="Cambria" w:hAnsi="Cambria"/>
      <w:b w:val="0"/>
      <w:color w:val="4F758B"/>
      <w:kern w:val="0"/>
      <w:sz w:val="32"/>
      <w:szCs w:val="32"/>
    </w:rPr>
  </w:style>
  <w:style w:type="character" w:customStyle="1" w:styleId="ISOPolicyDraftChar">
    <w:name w:val="ISO Policy Draft Char"/>
    <w:link w:val="ISOPolicyDraft"/>
    <w:rsid w:val="00E14135"/>
    <w:rPr>
      <w:rFonts w:ascii="Cambria" w:hAnsi="Cambria"/>
      <w:color w:val="4F758B"/>
      <w:sz w:val="32"/>
      <w:szCs w:val="32"/>
    </w:rPr>
  </w:style>
  <w:style w:type="paragraph" w:styleId="Revision">
    <w:name w:val="Revision"/>
    <w:hidden/>
    <w:uiPriority w:val="99"/>
    <w:semiHidden/>
    <w:rsid w:val="00E14135"/>
    <w:pPr>
      <w:spacing w:after="0" w:line="240" w:lineRule="auto"/>
    </w:pPr>
    <w:rPr>
      <w:rFonts w:ascii="Calibri" w:eastAsia="Calibri" w:hAnsi="Calibri" w:cs="Times New Roman"/>
    </w:rPr>
  </w:style>
  <w:style w:type="character" w:styleId="FollowedHyperlink">
    <w:name w:val="FollowedHyperlink"/>
    <w:uiPriority w:val="99"/>
    <w:unhideWhenUsed/>
    <w:rsid w:val="00E14135"/>
    <w:rPr>
      <w:color w:val="85DFD0"/>
      <w:u w:val="single"/>
    </w:rPr>
  </w:style>
  <w:style w:type="table" w:styleId="GridTable5Dark-Accent1">
    <w:name w:val="Grid Table 5 Dark Accent 1"/>
    <w:basedOn w:val="TableNormal"/>
    <w:uiPriority w:val="50"/>
    <w:rsid w:val="00E1413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7E2F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6F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6F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6F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6FC6"/>
      </w:tcPr>
    </w:tblStylePr>
    <w:tblStylePr w:type="band1Vert">
      <w:tblPr/>
      <w:tcPr>
        <w:shd w:val="clear" w:color="auto" w:fill="90C5F6"/>
      </w:tcPr>
    </w:tblStylePr>
    <w:tblStylePr w:type="band1Horz">
      <w:tblPr/>
      <w:tcPr>
        <w:shd w:val="clear" w:color="auto" w:fill="90C5F6"/>
      </w:tcPr>
    </w:tblStylePr>
  </w:style>
  <w:style w:type="paragraph" w:styleId="NormalWeb">
    <w:name w:val="Normal (Web)"/>
    <w:basedOn w:val="Normal"/>
    <w:uiPriority w:val="99"/>
    <w:unhideWhenUsed/>
    <w:rsid w:val="00E14135"/>
    <w:pPr>
      <w:spacing w:before="100" w:beforeAutospacing="1" w:after="100" w:afterAutospacing="1"/>
    </w:pPr>
    <w:rPr>
      <w:rFonts w:ascii="Times New Roman" w:hAnsi="Times New Roman"/>
      <w:sz w:val="24"/>
      <w:szCs w:val="24"/>
    </w:rPr>
  </w:style>
  <w:style w:type="paragraph" w:styleId="PlainText">
    <w:name w:val="Plain Text"/>
    <w:basedOn w:val="Normal"/>
    <w:link w:val="PlainTextChar"/>
    <w:uiPriority w:val="99"/>
    <w:unhideWhenUsed/>
    <w:rsid w:val="00E14135"/>
    <w:pPr>
      <w:spacing w:after="0"/>
    </w:pPr>
    <w:rPr>
      <w:rFonts w:ascii="Calibri" w:eastAsia="Calibri" w:hAnsi="Calibri"/>
      <w:szCs w:val="21"/>
    </w:rPr>
  </w:style>
  <w:style w:type="character" w:customStyle="1" w:styleId="PlainTextChar">
    <w:name w:val="Plain Text Char"/>
    <w:basedOn w:val="DefaultParagraphFont"/>
    <w:link w:val="PlainText"/>
    <w:uiPriority w:val="99"/>
    <w:rsid w:val="00E14135"/>
    <w:rPr>
      <w:rFonts w:ascii="Calibri" w:eastAsia="Calibri" w:hAnsi="Calibri"/>
      <w:szCs w:val="21"/>
    </w:rPr>
  </w:style>
  <w:style w:type="table" w:customStyle="1" w:styleId="GridTable5Dark-Accent11">
    <w:name w:val="Grid Table 5 Dark - Accent 11"/>
    <w:basedOn w:val="TableNormal"/>
    <w:next w:val="GridTable5Dark-Accent1"/>
    <w:uiPriority w:val="50"/>
    <w:rsid w:val="00E1413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7E2F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6F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6F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6F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6FC6"/>
      </w:tcPr>
    </w:tblStylePr>
    <w:tblStylePr w:type="band1Vert">
      <w:tblPr/>
      <w:tcPr>
        <w:shd w:val="clear" w:color="auto" w:fill="90C5F6"/>
      </w:tcPr>
    </w:tblStylePr>
    <w:tblStylePr w:type="band1Horz">
      <w:tblPr/>
      <w:tcPr>
        <w:shd w:val="clear" w:color="auto" w:fill="90C5F6"/>
      </w:tcPr>
    </w:tblStylePr>
  </w:style>
  <w:style w:type="paragraph" w:customStyle="1" w:styleId="paragraph0">
    <w:name w:val="paragraph"/>
    <w:basedOn w:val="Normal"/>
    <w:rsid w:val="0008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84139"/>
  </w:style>
  <w:style w:type="character" w:customStyle="1" w:styleId="eop">
    <w:name w:val="eop"/>
    <w:basedOn w:val="DefaultParagraphFont"/>
    <w:rsid w:val="00084139"/>
  </w:style>
  <w:style w:type="character" w:customStyle="1" w:styleId="spellingerror">
    <w:name w:val="spellingerror"/>
    <w:basedOn w:val="DefaultParagraphFont"/>
    <w:rsid w:val="00084139"/>
  </w:style>
  <w:style w:type="character" w:customStyle="1" w:styleId="ListParagraphChar">
    <w:name w:val="List Paragraph Char"/>
    <w:basedOn w:val="DefaultParagraphFont"/>
    <w:link w:val="ListParagraph"/>
    <w:uiPriority w:val="34"/>
    <w:locked/>
    <w:rsid w:val="00D063F0"/>
  </w:style>
  <w:style w:type="paragraph" w:customStyle="1" w:styleId="Figure">
    <w:name w:val="Figure"/>
    <w:basedOn w:val="Normal"/>
    <w:next w:val="Caption"/>
    <w:uiPriority w:val="1"/>
    <w:qFormat/>
    <w:rsid w:val="00B83728"/>
    <w:pPr>
      <w:keepNext/>
      <w:keepLines/>
      <w:widowControl w:val="0"/>
      <w:suppressAutoHyphens/>
      <w:spacing w:before="120" w:after="0" w:line="240" w:lineRule="auto"/>
      <w:jc w:val="center"/>
    </w:pPr>
    <w:rPr>
      <w:rFonts w:ascii="Cambria" w:eastAsia="Times New Roman" w:hAnsi="Cambria" w:cs="Times New Roman"/>
      <w:sz w:val="24"/>
      <w:szCs w:val="24"/>
    </w:rPr>
  </w:style>
  <w:style w:type="paragraph" w:customStyle="1" w:styleId="Table">
    <w:name w:val="Table"/>
    <w:basedOn w:val="Normal"/>
    <w:qFormat/>
    <w:rsid w:val="00B83728"/>
    <w:pPr>
      <w:widowControl w:val="0"/>
      <w:suppressAutoHyphens/>
      <w:spacing w:after="0" w:line="240" w:lineRule="auto"/>
      <w:jc w:val="center"/>
    </w:pPr>
    <w:rPr>
      <w:rFonts w:ascii="Cambria" w:eastAsia="Times New Roman" w:hAnsi="Cambria" w:cs="Times New Roman"/>
      <w:sz w:val="24"/>
      <w:szCs w:val="24"/>
    </w:rPr>
  </w:style>
  <w:style w:type="character" w:styleId="UnresolvedMention">
    <w:name w:val="Unresolved Mention"/>
    <w:basedOn w:val="DefaultParagraphFont"/>
    <w:uiPriority w:val="99"/>
    <w:semiHidden/>
    <w:unhideWhenUsed/>
    <w:rsid w:val="001874A4"/>
    <w:rPr>
      <w:color w:val="605E5C"/>
      <w:shd w:val="clear" w:color="auto" w:fill="E1DFDD"/>
    </w:rPr>
  </w:style>
  <w:style w:type="table" w:customStyle="1" w:styleId="TableGrid1">
    <w:name w:val="Table Grid1"/>
    <w:basedOn w:val="TableNormal"/>
    <w:next w:val="TableGrid"/>
    <w:uiPriority w:val="39"/>
    <w:rsid w:val="00FA3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2D06"/>
    <w:rPr>
      <w:color w:val="666666"/>
    </w:rPr>
  </w:style>
  <w:style w:type="paragraph" w:customStyle="1" w:styleId="Equation">
    <w:name w:val="Equation"/>
    <w:basedOn w:val="Normal"/>
    <w:uiPriority w:val="1"/>
    <w:qFormat/>
    <w:rsid w:val="003B6EB1"/>
    <w:pPr>
      <w:spacing w:before="120" w:after="0" w:line="240" w:lineRule="auto"/>
      <w:jc w:val="center"/>
    </w:pPr>
    <w:rPr>
      <w:rFonts w:ascii="Times New Roman" w:hAnsi="Times New Roman" w:cs="Times New Roman"/>
      <w:sz w:val="24"/>
      <w:szCs w:val="24"/>
    </w:rPr>
  </w:style>
  <w:style w:type="character" w:styleId="Strong">
    <w:name w:val="Strong"/>
    <w:basedOn w:val="DefaultParagraphFont"/>
    <w:uiPriority w:val="22"/>
    <w:qFormat/>
    <w:rsid w:val="00204199"/>
    <w:rPr>
      <w:b/>
      <w:bCs/>
    </w:rPr>
  </w:style>
  <w:style w:type="numbering" w:customStyle="1" w:styleId="NoList1">
    <w:name w:val="No List1"/>
    <w:next w:val="NoList"/>
    <w:uiPriority w:val="99"/>
    <w:semiHidden/>
    <w:unhideWhenUsed/>
    <w:rsid w:val="003C7846"/>
  </w:style>
  <w:style w:type="paragraph" w:customStyle="1" w:styleId="Quote1">
    <w:name w:val="Quote1"/>
    <w:basedOn w:val="Normal"/>
    <w:next w:val="Normal"/>
    <w:uiPriority w:val="29"/>
    <w:qFormat/>
    <w:rsid w:val="003C7846"/>
    <w:pPr>
      <w:spacing w:before="160" w:line="278" w:lineRule="auto"/>
      <w:jc w:val="center"/>
    </w:pPr>
    <w:rPr>
      <w:i/>
      <w:iCs/>
      <w:color w:val="404040"/>
      <w:kern w:val="2"/>
      <w:sz w:val="24"/>
      <w:szCs w:val="24"/>
      <w14:ligatures w14:val="standardContextual"/>
    </w:rPr>
  </w:style>
  <w:style w:type="character" w:customStyle="1" w:styleId="QuoteChar">
    <w:name w:val="Quote Char"/>
    <w:basedOn w:val="DefaultParagraphFont"/>
    <w:link w:val="Quote"/>
    <w:uiPriority w:val="29"/>
    <w:rsid w:val="003C7846"/>
    <w:rPr>
      <w:i/>
      <w:iCs/>
      <w:color w:val="404040"/>
    </w:rPr>
  </w:style>
  <w:style w:type="character" w:customStyle="1" w:styleId="IntenseEmphasis1">
    <w:name w:val="Intense Emphasis1"/>
    <w:basedOn w:val="DefaultParagraphFont"/>
    <w:uiPriority w:val="21"/>
    <w:qFormat/>
    <w:rsid w:val="003C7846"/>
    <w:rPr>
      <w:i/>
      <w:iCs/>
      <w:color w:val="2E74B5"/>
    </w:rPr>
  </w:style>
  <w:style w:type="paragraph" w:customStyle="1" w:styleId="IntenseQuote1">
    <w:name w:val="Intense Quote1"/>
    <w:basedOn w:val="Normal"/>
    <w:next w:val="Normal"/>
    <w:uiPriority w:val="30"/>
    <w:qFormat/>
    <w:rsid w:val="003C7846"/>
    <w:pPr>
      <w:pBdr>
        <w:top w:val="single" w:sz="4" w:space="10" w:color="2E74B5"/>
        <w:bottom w:val="single" w:sz="4" w:space="10" w:color="2E74B5"/>
      </w:pBdr>
      <w:spacing w:before="360" w:after="360" w:line="278" w:lineRule="auto"/>
      <w:ind w:left="864" w:right="864"/>
      <w:jc w:val="center"/>
    </w:pPr>
    <w:rPr>
      <w:i/>
      <w:iCs/>
      <w:color w:val="2E74B5"/>
      <w:kern w:val="2"/>
      <w:sz w:val="24"/>
      <w:szCs w:val="24"/>
      <w14:ligatures w14:val="standardContextual"/>
    </w:rPr>
  </w:style>
  <w:style w:type="character" w:customStyle="1" w:styleId="IntenseQuoteChar">
    <w:name w:val="Intense Quote Char"/>
    <w:basedOn w:val="DefaultParagraphFont"/>
    <w:link w:val="IntenseQuote"/>
    <w:uiPriority w:val="30"/>
    <w:rsid w:val="003C7846"/>
    <w:rPr>
      <w:i/>
      <w:iCs/>
      <w:color w:val="2E74B5"/>
    </w:rPr>
  </w:style>
  <w:style w:type="character" w:customStyle="1" w:styleId="IntenseReference1">
    <w:name w:val="Intense Reference1"/>
    <w:basedOn w:val="DefaultParagraphFont"/>
    <w:uiPriority w:val="32"/>
    <w:qFormat/>
    <w:rsid w:val="003C7846"/>
    <w:rPr>
      <w:b/>
      <w:bCs/>
      <w:smallCaps/>
      <w:color w:val="2E74B5"/>
      <w:spacing w:val="5"/>
    </w:rPr>
  </w:style>
  <w:style w:type="paragraph" w:styleId="Quote">
    <w:name w:val="Quote"/>
    <w:basedOn w:val="Normal"/>
    <w:next w:val="Normal"/>
    <w:link w:val="QuoteChar"/>
    <w:uiPriority w:val="29"/>
    <w:qFormat/>
    <w:rsid w:val="003C7846"/>
    <w:pPr>
      <w:spacing w:before="200"/>
      <w:ind w:left="864" w:right="864"/>
      <w:jc w:val="center"/>
    </w:pPr>
    <w:rPr>
      <w:i/>
      <w:iCs/>
      <w:color w:val="404040"/>
    </w:rPr>
  </w:style>
  <w:style w:type="character" w:customStyle="1" w:styleId="QuoteChar1">
    <w:name w:val="Quote Char1"/>
    <w:basedOn w:val="DefaultParagraphFont"/>
    <w:uiPriority w:val="29"/>
    <w:rsid w:val="003C7846"/>
    <w:rPr>
      <w:i/>
      <w:iCs/>
      <w:color w:val="404040" w:themeColor="text1" w:themeTint="BF"/>
    </w:rPr>
  </w:style>
  <w:style w:type="character" w:styleId="IntenseEmphasis">
    <w:name w:val="Intense Emphasis"/>
    <w:basedOn w:val="DefaultParagraphFont"/>
    <w:uiPriority w:val="21"/>
    <w:qFormat/>
    <w:rsid w:val="003C7846"/>
    <w:rPr>
      <w:i/>
      <w:iCs/>
      <w:color w:val="5B9BD5" w:themeColor="accent1"/>
    </w:rPr>
  </w:style>
  <w:style w:type="paragraph" w:styleId="IntenseQuote">
    <w:name w:val="Intense Quote"/>
    <w:basedOn w:val="Normal"/>
    <w:next w:val="Normal"/>
    <w:link w:val="IntenseQuoteChar"/>
    <w:uiPriority w:val="30"/>
    <w:qFormat/>
    <w:rsid w:val="003C7846"/>
    <w:pPr>
      <w:pBdr>
        <w:top w:val="single" w:sz="4" w:space="10" w:color="5B9BD5" w:themeColor="accent1"/>
        <w:bottom w:val="single" w:sz="4" w:space="10" w:color="5B9BD5" w:themeColor="accent1"/>
      </w:pBdr>
      <w:spacing w:before="360" w:after="360"/>
      <w:ind w:left="864" w:right="864"/>
      <w:jc w:val="center"/>
    </w:pPr>
    <w:rPr>
      <w:i/>
      <w:iCs/>
      <w:color w:val="2E74B5"/>
    </w:rPr>
  </w:style>
  <w:style w:type="character" w:customStyle="1" w:styleId="IntenseQuoteChar1">
    <w:name w:val="Intense Quote Char1"/>
    <w:basedOn w:val="DefaultParagraphFont"/>
    <w:uiPriority w:val="30"/>
    <w:rsid w:val="003C7846"/>
    <w:rPr>
      <w:i/>
      <w:iCs/>
      <w:color w:val="5B9BD5" w:themeColor="accent1"/>
    </w:rPr>
  </w:style>
  <w:style w:type="character" w:styleId="IntenseReference">
    <w:name w:val="Intense Reference"/>
    <w:basedOn w:val="DefaultParagraphFont"/>
    <w:uiPriority w:val="32"/>
    <w:qFormat/>
    <w:rsid w:val="003C7846"/>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63605">
      <w:bodyDiv w:val="1"/>
      <w:marLeft w:val="0"/>
      <w:marRight w:val="0"/>
      <w:marTop w:val="0"/>
      <w:marBottom w:val="0"/>
      <w:divBdr>
        <w:top w:val="none" w:sz="0" w:space="0" w:color="auto"/>
        <w:left w:val="none" w:sz="0" w:space="0" w:color="auto"/>
        <w:bottom w:val="none" w:sz="0" w:space="0" w:color="auto"/>
        <w:right w:val="none" w:sz="0" w:space="0" w:color="auto"/>
      </w:divBdr>
    </w:div>
    <w:div w:id="237449089">
      <w:bodyDiv w:val="1"/>
      <w:marLeft w:val="0"/>
      <w:marRight w:val="0"/>
      <w:marTop w:val="0"/>
      <w:marBottom w:val="0"/>
      <w:divBdr>
        <w:top w:val="none" w:sz="0" w:space="0" w:color="auto"/>
        <w:left w:val="none" w:sz="0" w:space="0" w:color="auto"/>
        <w:bottom w:val="none" w:sz="0" w:space="0" w:color="auto"/>
        <w:right w:val="none" w:sz="0" w:space="0" w:color="auto"/>
      </w:divBdr>
    </w:div>
    <w:div w:id="268857523">
      <w:bodyDiv w:val="1"/>
      <w:marLeft w:val="0"/>
      <w:marRight w:val="0"/>
      <w:marTop w:val="0"/>
      <w:marBottom w:val="0"/>
      <w:divBdr>
        <w:top w:val="none" w:sz="0" w:space="0" w:color="auto"/>
        <w:left w:val="none" w:sz="0" w:space="0" w:color="auto"/>
        <w:bottom w:val="none" w:sz="0" w:space="0" w:color="auto"/>
        <w:right w:val="none" w:sz="0" w:space="0" w:color="auto"/>
      </w:divBdr>
    </w:div>
    <w:div w:id="334848922">
      <w:bodyDiv w:val="1"/>
      <w:marLeft w:val="0"/>
      <w:marRight w:val="0"/>
      <w:marTop w:val="0"/>
      <w:marBottom w:val="0"/>
      <w:divBdr>
        <w:top w:val="none" w:sz="0" w:space="0" w:color="auto"/>
        <w:left w:val="none" w:sz="0" w:space="0" w:color="auto"/>
        <w:bottom w:val="none" w:sz="0" w:space="0" w:color="auto"/>
        <w:right w:val="none" w:sz="0" w:space="0" w:color="auto"/>
      </w:divBdr>
    </w:div>
    <w:div w:id="339161025">
      <w:bodyDiv w:val="1"/>
      <w:marLeft w:val="0"/>
      <w:marRight w:val="0"/>
      <w:marTop w:val="0"/>
      <w:marBottom w:val="0"/>
      <w:divBdr>
        <w:top w:val="none" w:sz="0" w:space="0" w:color="auto"/>
        <w:left w:val="none" w:sz="0" w:space="0" w:color="auto"/>
        <w:bottom w:val="none" w:sz="0" w:space="0" w:color="auto"/>
        <w:right w:val="none" w:sz="0" w:space="0" w:color="auto"/>
      </w:divBdr>
    </w:div>
    <w:div w:id="376006518">
      <w:bodyDiv w:val="1"/>
      <w:marLeft w:val="0"/>
      <w:marRight w:val="0"/>
      <w:marTop w:val="0"/>
      <w:marBottom w:val="0"/>
      <w:divBdr>
        <w:top w:val="none" w:sz="0" w:space="0" w:color="auto"/>
        <w:left w:val="none" w:sz="0" w:space="0" w:color="auto"/>
        <w:bottom w:val="none" w:sz="0" w:space="0" w:color="auto"/>
        <w:right w:val="none" w:sz="0" w:space="0" w:color="auto"/>
      </w:divBdr>
    </w:div>
    <w:div w:id="400298165">
      <w:bodyDiv w:val="1"/>
      <w:marLeft w:val="0"/>
      <w:marRight w:val="0"/>
      <w:marTop w:val="0"/>
      <w:marBottom w:val="0"/>
      <w:divBdr>
        <w:top w:val="none" w:sz="0" w:space="0" w:color="auto"/>
        <w:left w:val="none" w:sz="0" w:space="0" w:color="auto"/>
        <w:bottom w:val="none" w:sz="0" w:space="0" w:color="auto"/>
        <w:right w:val="none" w:sz="0" w:space="0" w:color="auto"/>
      </w:divBdr>
    </w:div>
    <w:div w:id="430397549">
      <w:bodyDiv w:val="1"/>
      <w:marLeft w:val="0"/>
      <w:marRight w:val="0"/>
      <w:marTop w:val="0"/>
      <w:marBottom w:val="0"/>
      <w:divBdr>
        <w:top w:val="none" w:sz="0" w:space="0" w:color="auto"/>
        <w:left w:val="none" w:sz="0" w:space="0" w:color="auto"/>
        <w:bottom w:val="none" w:sz="0" w:space="0" w:color="auto"/>
        <w:right w:val="none" w:sz="0" w:space="0" w:color="auto"/>
      </w:divBdr>
    </w:div>
    <w:div w:id="446047362">
      <w:bodyDiv w:val="1"/>
      <w:marLeft w:val="0"/>
      <w:marRight w:val="0"/>
      <w:marTop w:val="0"/>
      <w:marBottom w:val="0"/>
      <w:divBdr>
        <w:top w:val="none" w:sz="0" w:space="0" w:color="auto"/>
        <w:left w:val="none" w:sz="0" w:space="0" w:color="auto"/>
        <w:bottom w:val="none" w:sz="0" w:space="0" w:color="auto"/>
        <w:right w:val="none" w:sz="0" w:space="0" w:color="auto"/>
      </w:divBdr>
    </w:div>
    <w:div w:id="446390661">
      <w:bodyDiv w:val="1"/>
      <w:marLeft w:val="0"/>
      <w:marRight w:val="0"/>
      <w:marTop w:val="0"/>
      <w:marBottom w:val="0"/>
      <w:divBdr>
        <w:top w:val="none" w:sz="0" w:space="0" w:color="auto"/>
        <w:left w:val="none" w:sz="0" w:space="0" w:color="auto"/>
        <w:bottom w:val="none" w:sz="0" w:space="0" w:color="auto"/>
        <w:right w:val="none" w:sz="0" w:space="0" w:color="auto"/>
      </w:divBdr>
    </w:div>
    <w:div w:id="537544286">
      <w:bodyDiv w:val="1"/>
      <w:marLeft w:val="0"/>
      <w:marRight w:val="0"/>
      <w:marTop w:val="0"/>
      <w:marBottom w:val="0"/>
      <w:divBdr>
        <w:top w:val="none" w:sz="0" w:space="0" w:color="auto"/>
        <w:left w:val="none" w:sz="0" w:space="0" w:color="auto"/>
        <w:bottom w:val="none" w:sz="0" w:space="0" w:color="auto"/>
        <w:right w:val="none" w:sz="0" w:space="0" w:color="auto"/>
      </w:divBdr>
      <w:divsChild>
        <w:div w:id="313263062">
          <w:marLeft w:val="1166"/>
          <w:marRight w:val="0"/>
          <w:marTop w:val="77"/>
          <w:marBottom w:val="0"/>
          <w:divBdr>
            <w:top w:val="none" w:sz="0" w:space="0" w:color="auto"/>
            <w:left w:val="none" w:sz="0" w:space="0" w:color="auto"/>
            <w:bottom w:val="none" w:sz="0" w:space="0" w:color="auto"/>
            <w:right w:val="none" w:sz="0" w:space="0" w:color="auto"/>
          </w:divBdr>
        </w:div>
      </w:divsChild>
    </w:div>
    <w:div w:id="590510400">
      <w:bodyDiv w:val="1"/>
      <w:marLeft w:val="0"/>
      <w:marRight w:val="0"/>
      <w:marTop w:val="0"/>
      <w:marBottom w:val="0"/>
      <w:divBdr>
        <w:top w:val="none" w:sz="0" w:space="0" w:color="auto"/>
        <w:left w:val="none" w:sz="0" w:space="0" w:color="auto"/>
        <w:bottom w:val="none" w:sz="0" w:space="0" w:color="auto"/>
        <w:right w:val="none" w:sz="0" w:space="0" w:color="auto"/>
      </w:divBdr>
    </w:div>
    <w:div w:id="603072331">
      <w:bodyDiv w:val="1"/>
      <w:marLeft w:val="0"/>
      <w:marRight w:val="0"/>
      <w:marTop w:val="0"/>
      <w:marBottom w:val="0"/>
      <w:divBdr>
        <w:top w:val="none" w:sz="0" w:space="0" w:color="auto"/>
        <w:left w:val="none" w:sz="0" w:space="0" w:color="auto"/>
        <w:bottom w:val="none" w:sz="0" w:space="0" w:color="auto"/>
        <w:right w:val="none" w:sz="0" w:space="0" w:color="auto"/>
      </w:divBdr>
      <w:divsChild>
        <w:div w:id="1134058061">
          <w:marLeft w:val="547"/>
          <w:marRight w:val="0"/>
          <w:marTop w:val="77"/>
          <w:marBottom w:val="0"/>
          <w:divBdr>
            <w:top w:val="none" w:sz="0" w:space="0" w:color="auto"/>
            <w:left w:val="none" w:sz="0" w:space="0" w:color="auto"/>
            <w:bottom w:val="none" w:sz="0" w:space="0" w:color="auto"/>
            <w:right w:val="none" w:sz="0" w:space="0" w:color="auto"/>
          </w:divBdr>
        </w:div>
        <w:div w:id="1236666016">
          <w:marLeft w:val="1166"/>
          <w:marRight w:val="0"/>
          <w:marTop w:val="77"/>
          <w:marBottom w:val="0"/>
          <w:divBdr>
            <w:top w:val="none" w:sz="0" w:space="0" w:color="auto"/>
            <w:left w:val="none" w:sz="0" w:space="0" w:color="auto"/>
            <w:bottom w:val="none" w:sz="0" w:space="0" w:color="auto"/>
            <w:right w:val="none" w:sz="0" w:space="0" w:color="auto"/>
          </w:divBdr>
        </w:div>
        <w:div w:id="1398357615">
          <w:marLeft w:val="1166"/>
          <w:marRight w:val="0"/>
          <w:marTop w:val="77"/>
          <w:marBottom w:val="0"/>
          <w:divBdr>
            <w:top w:val="none" w:sz="0" w:space="0" w:color="auto"/>
            <w:left w:val="none" w:sz="0" w:space="0" w:color="auto"/>
            <w:bottom w:val="none" w:sz="0" w:space="0" w:color="auto"/>
            <w:right w:val="none" w:sz="0" w:space="0" w:color="auto"/>
          </w:divBdr>
        </w:div>
        <w:div w:id="85880612">
          <w:marLeft w:val="1166"/>
          <w:marRight w:val="0"/>
          <w:marTop w:val="77"/>
          <w:marBottom w:val="0"/>
          <w:divBdr>
            <w:top w:val="none" w:sz="0" w:space="0" w:color="auto"/>
            <w:left w:val="none" w:sz="0" w:space="0" w:color="auto"/>
            <w:bottom w:val="none" w:sz="0" w:space="0" w:color="auto"/>
            <w:right w:val="none" w:sz="0" w:space="0" w:color="auto"/>
          </w:divBdr>
        </w:div>
        <w:div w:id="778184106">
          <w:marLeft w:val="1800"/>
          <w:marRight w:val="0"/>
          <w:marTop w:val="77"/>
          <w:marBottom w:val="0"/>
          <w:divBdr>
            <w:top w:val="none" w:sz="0" w:space="0" w:color="auto"/>
            <w:left w:val="none" w:sz="0" w:space="0" w:color="auto"/>
            <w:bottom w:val="none" w:sz="0" w:space="0" w:color="auto"/>
            <w:right w:val="none" w:sz="0" w:space="0" w:color="auto"/>
          </w:divBdr>
        </w:div>
        <w:div w:id="2002003384">
          <w:marLeft w:val="1800"/>
          <w:marRight w:val="0"/>
          <w:marTop w:val="77"/>
          <w:marBottom w:val="0"/>
          <w:divBdr>
            <w:top w:val="none" w:sz="0" w:space="0" w:color="auto"/>
            <w:left w:val="none" w:sz="0" w:space="0" w:color="auto"/>
            <w:bottom w:val="none" w:sz="0" w:space="0" w:color="auto"/>
            <w:right w:val="none" w:sz="0" w:space="0" w:color="auto"/>
          </w:divBdr>
        </w:div>
        <w:div w:id="342247540">
          <w:marLeft w:val="1166"/>
          <w:marRight w:val="0"/>
          <w:marTop w:val="77"/>
          <w:marBottom w:val="0"/>
          <w:divBdr>
            <w:top w:val="none" w:sz="0" w:space="0" w:color="auto"/>
            <w:left w:val="none" w:sz="0" w:space="0" w:color="auto"/>
            <w:bottom w:val="none" w:sz="0" w:space="0" w:color="auto"/>
            <w:right w:val="none" w:sz="0" w:space="0" w:color="auto"/>
          </w:divBdr>
        </w:div>
      </w:divsChild>
    </w:div>
    <w:div w:id="603150041">
      <w:bodyDiv w:val="1"/>
      <w:marLeft w:val="0"/>
      <w:marRight w:val="0"/>
      <w:marTop w:val="0"/>
      <w:marBottom w:val="0"/>
      <w:divBdr>
        <w:top w:val="none" w:sz="0" w:space="0" w:color="auto"/>
        <w:left w:val="none" w:sz="0" w:space="0" w:color="auto"/>
        <w:bottom w:val="none" w:sz="0" w:space="0" w:color="auto"/>
        <w:right w:val="none" w:sz="0" w:space="0" w:color="auto"/>
      </w:divBdr>
    </w:div>
    <w:div w:id="732123003">
      <w:bodyDiv w:val="1"/>
      <w:marLeft w:val="0"/>
      <w:marRight w:val="0"/>
      <w:marTop w:val="0"/>
      <w:marBottom w:val="0"/>
      <w:divBdr>
        <w:top w:val="none" w:sz="0" w:space="0" w:color="auto"/>
        <w:left w:val="none" w:sz="0" w:space="0" w:color="auto"/>
        <w:bottom w:val="none" w:sz="0" w:space="0" w:color="auto"/>
        <w:right w:val="none" w:sz="0" w:space="0" w:color="auto"/>
      </w:divBdr>
    </w:div>
    <w:div w:id="750590468">
      <w:bodyDiv w:val="1"/>
      <w:marLeft w:val="0"/>
      <w:marRight w:val="0"/>
      <w:marTop w:val="0"/>
      <w:marBottom w:val="0"/>
      <w:divBdr>
        <w:top w:val="none" w:sz="0" w:space="0" w:color="auto"/>
        <w:left w:val="none" w:sz="0" w:space="0" w:color="auto"/>
        <w:bottom w:val="none" w:sz="0" w:space="0" w:color="auto"/>
        <w:right w:val="none" w:sz="0" w:space="0" w:color="auto"/>
      </w:divBdr>
    </w:div>
    <w:div w:id="841434205">
      <w:bodyDiv w:val="1"/>
      <w:marLeft w:val="0"/>
      <w:marRight w:val="0"/>
      <w:marTop w:val="0"/>
      <w:marBottom w:val="0"/>
      <w:divBdr>
        <w:top w:val="none" w:sz="0" w:space="0" w:color="auto"/>
        <w:left w:val="none" w:sz="0" w:space="0" w:color="auto"/>
        <w:bottom w:val="none" w:sz="0" w:space="0" w:color="auto"/>
        <w:right w:val="none" w:sz="0" w:space="0" w:color="auto"/>
      </w:divBdr>
    </w:div>
    <w:div w:id="854347272">
      <w:bodyDiv w:val="1"/>
      <w:marLeft w:val="0"/>
      <w:marRight w:val="0"/>
      <w:marTop w:val="0"/>
      <w:marBottom w:val="0"/>
      <w:divBdr>
        <w:top w:val="none" w:sz="0" w:space="0" w:color="auto"/>
        <w:left w:val="none" w:sz="0" w:space="0" w:color="auto"/>
        <w:bottom w:val="none" w:sz="0" w:space="0" w:color="auto"/>
        <w:right w:val="none" w:sz="0" w:space="0" w:color="auto"/>
      </w:divBdr>
    </w:div>
    <w:div w:id="886061772">
      <w:bodyDiv w:val="1"/>
      <w:marLeft w:val="0"/>
      <w:marRight w:val="0"/>
      <w:marTop w:val="0"/>
      <w:marBottom w:val="0"/>
      <w:divBdr>
        <w:top w:val="none" w:sz="0" w:space="0" w:color="auto"/>
        <w:left w:val="none" w:sz="0" w:space="0" w:color="auto"/>
        <w:bottom w:val="none" w:sz="0" w:space="0" w:color="auto"/>
        <w:right w:val="none" w:sz="0" w:space="0" w:color="auto"/>
      </w:divBdr>
    </w:div>
    <w:div w:id="887761339">
      <w:bodyDiv w:val="1"/>
      <w:marLeft w:val="0"/>
      <w:marRight w:val="0"/>
      <w:marTop w:val="0"/>
      <w:marBottom w:val="0"/>
      <w:divBdr>
        <w:top w:val="none" w:sz="0" w:space="0" w:color="auto"/>
        <w:left w:val="none" w:sz="0" w:space="0" w:color="auto"/>
        <w:bottom w:val="none" w:sz="0" w:space="0" w:color="auto"/>
        <w:right w:val="none" w:sz="0" w:space="0" w:color="auto"/>
      </w:divBdr>
    </w:div>
    <w:div w:id="1062290659">
      <w:bodyDiv w:val="1"/>
      <w:marLeft w:val="0"/>
      <w:marRight w:val="0"/>
      <w:marTop w:val="0"/>
      <w:marBottom w:val="0"/>
      <w:divBdr>
        <w:top w:val="none" w:sz="0" w:space="0" w:color="auto"/>
        <w:left w:val="none" w:sz="0" w:space="0" w:color="auto"/>
        <w:bottom w:val="none" w:sz="0" w:space="0" w:color="auto"/>
        <w:right w:val="none" w:sz="0" w:space="0" w:color="auto"/>
      </w:divBdr>
    </w:div>
    <w:div w:id="1184053389">
      <w:bodyDiv w:val="1"/>
      <w:marLeft w:val="0"/>
      <w:marRight w:val="0"/>
      <w:marTop w:val="0"/>
      <w:marBottom w:val="0"/>
      <w:divBdr>
        <w:top w:val="none" w:sz="0" w:space="0" w:color="auto"/>
        <w:left w:val="none" w:sz="0" w:space="0" w:color="auto"/>
        <w:bottom w:val="none" w:sz="0" w:space="0" w:color="auto"/>
        <w:right w:val="none" w:sz="0" w:space="0" w:color="auto"/>
      </w:divBdr>
    </w:div>
    <w:div w:id="1253515144">
      <w:bodyDiv w:val="1"/>
      <w:marLeft w:val="0"/>
      <w:marRight w:val="0"/>
      <w:marTop w:val="0"/>
      <w:marBottom w:val="0"/>
      <w:divBdr>
        <w:top w:val="none" w:sz="0" w:space="0" w:color="auto"/>
        <w:left w:val="none" w:sz="0" w:space="0" w:color="auto"/>
        <w:bottom w:val="none" w:sz="0" w:space="0" w:color="auto"/>
        <w:right w:val="none" w:sz="0" w:space="0" w:color="auto"/>
      </w:divBdr>
    </w:div>
    <w:div w:id="1263605065">
      <w:bodyDiv w:val="1"/>
      <w:marLeft w:val="0"/>
      <w:marRight w:val="0"/>
      <w:marTop w:val="0"/>
      <w:marBottom w:val="0"/>
      <w:divBdr>
        <w:top w:val="none" w:sz="0" w:space="0" w:color="auto"/>
        <w:left w:val="none" w:sz="0" w:space="0" w:color="auto"/>
        <w:bottom w:val="none" w:sz="0" w:space="0" w:color="auto"/>
        <w:right w:val="none" w:sz="0" w:space="0" w:color="auto"/>
      </w:divBdr>
      <w:divsChild>
        <w:div w:id="972712005">
          <w:marLeft w:val="0"/>
          <w:marRight w:val="0"/>
          <w:marTop w:val="0"/>
          <w:marBottom w:val="0"/>
          <w:divBdr>
            <w:top w:val="none" w:sz="0" w:space="0" w:color="auto"/>
            <w:left w:val="none" w:sz="0" w:space="0" w:color="auto"/>
            <w:bottom w:val="none" w:sz="0" w:space="0" w:color="auto"/>
            <w:right w:val="none" w:sz="0" w:space="0" w:color="auto"/>
          </w:divBdr>
        </w:div>
        <w:div w:id="1096634170">
          <w:marLeft w:val="0"/>
          <w:marRight w:val="0"/>
          <w:marTop w:val="0"/>
          <w:marBottom w:val="0"/>
          <w:divBdr>
            <w:top w:val="none" w:sz="0" w:space="0" w:color="auto"/>
            <w:left w:val="none" w:sz="0" w:space="0" w:color="auto"/>
            <w:bottom w:val="none" w:sz="0" w:space="0" w:color="auto"/>
            <w:right w:val="none" w:sz="0" w:space="0" w:color="auto"/>
          </w:divBdr>
        </w:div>
        <w:div w:id="1968126563">
          <w:marLeft w:val="0"/>
          <w:marRight w:val="0"/>
          <w:marTop w:val="0"/>
          <w:marBottom w:val="0"/>
          <w:divBdr>
            <w:top w:val="none" w:sz="0" w:space="0" w:color="auto"/>
            <w:left w:val="none" w:sz="0" w:space="0" w:color="auto"/>
            <w:bottom w:val="none" w:sz="0" w:space="0" w:color="auto"/>
            <w:right w:val="none" w:sz="0" w:space="0" w:color="auto"/>
          </w:divBdr>
        </w:div>
        <w:div w:id="1181704842">
          <w:marLeft w:val="0"/>
          <w:marRight w:val="0"/>
          <w:marTop w:val="0"/>
          <w:marBottom w:val="0"/>
          <w:divBdr>
            <w:top w:val="none" w:sz="0" w:space="0" w:color="auto"/>
            <w:left w:val="none" w:sz="0" w:space="0" w:color="auto"/>
            <w:bottom w:val="none" w:sz="0" w:space="0" w:color="auto"/>
            <w:right w:val="none" w:sz="0" w:space="0" w:color="auto"/>
          </w:divBdr>
          <w:divsChild>
            <w:div w:id="1853833181">
              <w:marLeft w:val="360"/>
              <w:marRight w:val="0"/>
              <w:marTop w:val="0"/>
              <w:marBottom w:val="0"/>
              <w:divBdr>
                <w:top w:val="none" w:sz="0" w:space="0" w:color="auto"/>
                <w:left w:val="none" w:sz="0" w:space="0" w:color="auto"/>
                <w:bottom w:val="none" w:sz="0" w:space="0" w:color="auto"/>
                <w:right w:val="none" w:sz="0" w:space="0" w:color="auto"/>
              </w:divBdr>
            </w:div>
            <w:div w:id="170461032">
              <w:marLeft w:val="360"/>
              <w:marRight w:val="0"/>
              <w:marTop w:val="0"/>
              <w:marBottom w:val="0"/>
              <w:divBdr>
                <w:top w:val="none" w:sz="0" w:space="0" w:color="auto"/>
                <w:left w:val="none" w:sz="0" w:space="0" w:color="auto"/>
                <w:bottom w:val="none" w:sz="0" w:space="0" w:color="auto"/>
                <w:right w:val="none" w:sz="0" w:space="0" w:color="auto"/>
              </w:divBdr>
            </w:div>
            <w:div w:id="671562854">
              <w:marLeft w:val="360"/>
              <w:marRight w:val="0"/>
              <w:marTop w:val="0"/>
              <w:marBottom w:val="0"/>
              <w:divBdr>
                <w:top w:val="none" w:sz="0" w:space="0" w:color="auto"/>
                <w:left w:val="none" w:sz="0" w:space="0" w:color="auto"/>
                <w:bottom w:val="none" w:sz="0" w:space="0" w:color="auto"/>
                <w:right w:val="none" w:sz="0" w:space="0" w:color="auto"/>
              </w:divBdr>
            </w:div>
            <w:div w:id="860507479">
              <w:marLeft w:val="360"/>
              <w:marRight w:val="0"/>
              <w:marTop w:val="0"/>
              <w:marBottom w:val="0"/>
              <w:divBdr>
                <w:top w:val="none" w:sz="0" w:space="0" w:color="auto"/>
                <w:left w:val="none" w:sz="0" w:space="0" w:color="auto"/>
                <w:bottom w:val="none" w:sz="0" w:space="0" w:color="auto"/>
                <w:right w:val="none" w:sz="0" w:space="0" w:color="auto"/>
              </w:divBdr>
            </w:div>
            <w:div w:id="503086980">
              <w:marLeft w:val="360"/>
              <w:marRight w:val="0"/>
              <w:marTop w:val="0"/>
              <w:marBottom w:val="0"/>
              <w:divBdr>
                <w:top w:val="none" w:sz="0" w:space="0" w:color="auto"/>
                <w:left w:val="none" w:sz="0" w:space="0" w:color="auto"/>
                <w:bottom w:val="none" w:sz="0" w:space="0" w:color="auto"/>
                <w:right w:val="none" w:sz="0" w:space="0" w:color="auto"/>
              </w:divBdr>
            </w:div>
            <w:div w:id="295835238">
              <w:marLeft w:val="360"/>
              <w:marRight w:val="0"/>
              <w:marTop w:val="0"/>
              <w:marBottom w:val="0"/>
              <w:divBdr>
                <w:top w:val="none" w:sz="0" w:space="0" w:color="auto"/>
                <w:left w:val="none" w:sz="0" w:space="0" w:color="auto"/>
                <w:bottom w:val="none" w:sz="0" w:space="0" w:color="auto"/>
                <w:right w:val="none" w:sz="0" w:space="0" w:color="auto"/>
              </w:divBdr>
            </w:div>
            <w:div w:id="1316301792">
              <w:marLeft w:val="360"/>
              <w:marRight w:val="0"/>
              <w:marTop w:val="0"/>
              <w:marBottom w:val="0"/>
              <w:divBdr>
                <w:top w:val="none" w:sz="0" w:space="0" w:color="auto"/>
                <w:left w:val="none" w:sz="0" w:space="0" w:color="auto"/>
                <w:bottom w:val="none" w:sz="0" w:space="0" w:color="auto"/>
                <w:right w:val="none" w:sz="0" w:space="0" w:color="auto"/>
              </w:divBdr>
            </w:div>
            <w:div w:id="1718623634">
              <w:marLeft w:val="360"/>
              <w:marRight w:val="0"/>
              <w:marTop w:val="0"/>
              <w:marBottom w:val="0"/>
              <w:divBdr>
                <w:top w:val="none" w:sz="0" w:space="0" w:color="auto"/>
                <w:left w:val="none" w:sz="0" w:space="0" w:color="auto"/>
                <w:bottom w:val="none" w:sz="0" w:space="0" w:color="auto"/>
                <w:right w:val="none" w:sz="0" w:space="0" w:color="auto"/>
              </w:divBdr>
              <w:divsChild>
                <w:div w:id="165823622">
                  <w:marLeft w:val="360"/>
                  <w:marRight w:val="0"/>
                  <w:marTop w:val="0"/>
                  <w:marBottom w:val="0"/>
                  <w:divBdr>
                    <w:top w:val="none" w:sz="0" w:space="0" w:color="auto"/>
                    <w:left w:val="none" w:sz="0" w:space="0" w:color="auto"/>
                    <w:bottom w:val="none" w:sz="0" w:space="0" w:color="auto"/>
                    <w:right w:val="none" w:sz="0" w:space="0" w:color="auto"/>
                  </w:divBdr>
                </w:div>
              </w:divsChild>
            </w:div>
            <w:div w:id="21714802">
              <w:marLeft w:val="360"/>
              <w:marRight w:val="0"/>
              <w:marTop w:val="0"/>
              <w:marBottom w:val="0"/>
              <w:divBdr>
                <w:top w:val="none" w:sz="0" w:space="0" w:color="auto"/>
                <w:left w:val="none" w:sz="0" w:space="0" w:color="auto"/>
                <w:bottom w:val="none" w:sz="0" w:space="0" w:color="auto"/>
                <w:right w:val="none" w:sz="0" w:space="0" w:color="auto"/>
              </w:divBdr>
            </w:div>
          </w:divsChild>
        </w:div>
        <w:div w:id="1749384541">
          <w:marLeft w:val="0"/>
          <w:marRight w:val="0"/>
          <w:marTop w:val="0"/>
          <w:marBottom w:val="0"/>
          <w:divBdr>
            <w:top w:val="none" w:sz="0" w:space="0" w:color="auto"/>
            <w:left w:val="none" w:sz="0" w:space="0" w:color="auto"/>
            <w:bottom w:val="none" w:sz="0" w:space="0" w:color="auto"/>
            <w:right w:val="none" w:sz="0" w:space="0" w:color="auto"/>
          </w:divBdr>
        </w:div>
        <w:div w:id="15664229">
          <w:marLeft w:val="0"/>
          <w:marRight w:val="0"/>
          <w:marTop w:val="0"/>
          <w:marBottom w:val="0"/>
          <w:divBdr>
            <w:top w:val="none" w:sz="0" w:space="0" w:color="auto"/>
            <w:left w:val="none" w:sz="0" w:space="0" w:color="auto"/>
            <w:bottom w:val="none" w:sz="0" w:space="0" w:color="auto"/>
            <w:right w:val="none" w:sz="0" w:space="0" w:color="auto"/>
          </w:divBdr>
        </w:div>
        <w:div w:id="833031472">
          <w:marLeft w:val="0"/>
          <w:marRight w:val="0"/>
          <w:marTop w:val="0"/>
          <w:marBottom w:val="0"/>
          <w:divBdr>
            <w:top w:val="none" w:sz="0" w:space="0" w:color="auto"/>
            <w:left w:val="none" w:sz="0" w:space="0" w:color="auto"/>
            <w:bottom w:val="none" w:sz="0" w:space="0" w:color="auto"/>
            <w:right w:val="none" w:sz="0" w:space="0" w:color="auto"/>
          </w:divBdr>
        </w:div>
        <w:div w:id="2108767962">
          <w:marLeft w:val="0"/>
          <w:marRight w:val="0"/>
          <w:marTop w:val="0"/>
          <w:marBottom w:val="0"/>
          <w:divBdr>
            <w:top w:val="none" w:sz="0" w:space="0" w:color="auto"/>
            <w:left w:val="none" w:sz="0" w:space="0" w:color="auto"/>
            <w:bottom w:val="none" w:sz="0" w:space="0" w:color="auto"/>
            <w:right w:val="none" w:sz="0" w:space="0" w:color="auto"/>
          </w:divBdr>
          <w:divsChild>
            <w:div w:id="1932333">
              <w:marLeft w:val="360"/>
              <w:marRight w:val="0"/>
              <w:marTop w:val="0"/>
              <w:marBottom w:val="0"/>
              <w:divBdr>
                <w:top w:val="none" w:sz="0" w:space="0" w:color="auto"/>
                <w:left w:val="none" w:sz="0" w:space="0" w:color="auto"/>
                <w:bottom w:val="none" w:sz="0" w:space="0" w:color="auto"/>
                <w:right w:val="none" w:sz="0" w:space="0" w:color="auto"/>
              </w:divBdr>
            </w:div>
          </w:divsChild>
        </w:div>
        <w:div w:id="928581151">
          <w:marLeft w:val="0"/>
          <w:marRight w:val="0"/>
          <w:marTop w:val="0"/>
          <w:marBottom w:val="0"/>
          <w:divBdr>
            <w:top w:val="none" w:sz="0" w:space="0" w:color="auto"/>
            <w:left w:val="none" w:sz="0" w:space="0" w:color="auto"/>
            <w:bottom w:val="none" w:sz="0" w:space="0" w:color="auto"/>
            <w:right w:val="none" w:sz="0" w:space="0" w:color="auto"/>
          </w:divBdr>
          <w:divsChild>
            <w:div w:id="1298339702">
              <w:marLeft w:val="360"/>
              <w:marRight w:val="0"/>
              <w:marTop w:val="0"/>
              <w:marBottom w:val="0"/>
              <w:divBdr>
                <w:top w:val="none" w:sz="0" w:space="0" w:color="auto"/>
                <w:left w:val="none" w:sz="0" w:space="0" w:color="auto"/>
                <w:bottom w:val="none" w:sz="0" w:space="0" w:color="auto"/>
                <w:right w:val="none" w:sz="0" w:space="0" w:color="auto"/>
              </w:divBdr>
            </w:div>
            <w:div w:id="669328795">
              <w:marLeft w:val="360"/>
              <w:marRight w:val="0"/>
              <w:marTop w:val="0"/>
              <w:marBottom w:val="0"/>
              <w:divBdr>
                <w:top w:val="none" w:sz="0" w:space="0" w:color="auto"/>
                <w:left w:val="none" w:sz="0" w:space="0" w:color="auto"/>
                <w:bottom w:val="none" w:sz="0" w:space="0" w:color="auto"/>
                <w:right w:val="none" w:sz="0" w:space="0" w:color="auto"/>
              </w:divBdr>
            </w:div>
            <w:div w:id="1185707384">
              <w:marLeft w:val="360"/>
              <w:marRight w:val="0"/>
              <w:marTop w:val="0"/>
              <w:marBottom w:val="0"/>
              <w:divBdr>
                <w:top w:val="none" w:sz="0" w:space="0" w:color="auto"/>
                <w:left w:val="none" w:sz="0" w:space="0" w:color="auto"/>
                <w:bottom w:val="none" w:sz="0" w:space="0" w:color="auto"/>
                <w:right w:val="none" w:sz="0" w:space="0" w:color="auto"/>
              </w:divBdr>
            </w:div>
          </w:divsChild>
        </w:div>
        <w:div w:id="972979997">
          <w:marLeft w:val="0"/>
          <w:marRight w:val="0"/>
          <w:marTop w:val="0"/>
          <w:marBottom w:val="0"/>
          <w:divBdr>
            <w:top w:val="none" w:sz="0" w:space="0" w:color="auto"/>
            <w:left w:val="none" w:sz="0" w:space="0" w:color="auto"/>
            <w:bottom w:val="none" w:sz="0" w:space="0" w:color="auto"/>
            <w:right w:val="none" w:sz="0" w:space="0" w:color="auto"/>
          </w:divBdr>
          <w:divsChild>
            <w:div w:id="1868175883">
              <w:marLeft w:val="360"/>
              <w:marRight w:val="0"/>
              <w:marTop w:val="0"/>
              <w:marBottom w:val="0"/>
              <w:divBdr>
                <w:top w:val="none" w:sz="0" w:space="0" w:color="auto"/>
                <w:left w:val="none" w:sz="0" w:space="0" w:color="auto"/>
                <w:bottom w:val="none" w:sz="0" w:space="0" w:color="auto"/>
                <w:right w:val="none" w:sz="0" w:space="0" w:color="auto"/>
              </w:divBdr>
            </w:div>
            <w:div w:id="361593504">
              <w:marLeft w:val="360"/>
              <w:marRight w:val="0"/>
              <w:marTop w:val="0"/>
              <w:marBottom w:val="0"/>
              <w:divBdr>
                <w:top w:val="none" w:sz="0" w:space="0" w:color="auto"/>
                <w:left w:val="none" w:sz="0" w:space="0" w:color="auto"/>
                <w:bottom w:val="none" w:sz="0" w:space="0" w:color="auto"/>
                <w:right w:val="none" w:sz="0" w:space="0" w:color="auto"/>
              </w:divBdr>
            </w:div>
            <w:div w:id="1051078124">
              <w:marLeft w:val="360"/>
              <w:marRight w:val="0"/>
              <w:marTop w:val="0"/>
              <w:marBottom w:val="0"/>
              <w:divBdr>
                <w:top w:val="none" w:sz="0" w:space="0" w:color="auto"/>
                <w:left w:val="none" w:sz="0" w:space="0" w:color="auto"/>
                <w:bottom w:val="none" w:sz="0" w:space="0" w:color="auto"/>
                <w:right w:val="none" w:sz="0" w:space="0" w:color="auto"/>
              </w:divBdr>
              <w:divsChild>
                <w:div w:id="802773566">
                  <w:marLeft w:val="360"/>
                  <w:marRight w:val="0"/>
                  <w:marTop w:val="0"/>
                  <w:marBottom w:val="0"/>
                  <w:divBdr>
                    <w:top w:val="none" w:sz="0" w:space="0" w:color="auto"/>
                    <w:left w:val="none" w:sz="0" w:space="0" w:color="auto"/>
                    <w:bottom w:val="none" w:sz="0" w:space="0" w:color="auto"/>
                    <w:right w:val="none" w:sz="0" w:space="0" w:color="auto"/>
                  </w:divBdr>
                  <w:divsChild>
                    <w:div w:id="2053383951">
                      <w:marLeft w:val="360"/>
                      <w:marRight w:val="0"/>
                      <w:marTop w:val="0"/>
                      <w:marBottom w:val="0"/>
                      <w:divBdr>
                        <w:top w:val="none" w:sz="0" w:space="0" w:color="auto"/>
                        <w:left w:val="none" w:sz="0" w:space="0" w:color="auto"/>
                        <w:bottom w:val="none" w:sz="0" w:space="0" w:color="auto"/>
                        <w:right w:val="none" w:sz="0" w:space="0" w:color="auto"/>
                      </w:divBdr>
                    </w:div>
                    <w:div w:id="50691018">
                      <w:marLeft w:val="360"/>
                      <w:marRight w:val="0"/>
                      <w:marTop w:val="0"/>
                      <w:marBottom w:val="0"/>
                      <w:divBdr>
                        <w:top w:val="none" w:sz="0" w:space="0" w:color="auto"/>
                        <w:left w:val="none" w:sz="0" w:space="0" w:color="auto"/>
                        <w:bottom w:val="none" w:sz="0" w:space="0" w:color="auto"/>
                        <w:right w:val="none" w:sz="0" w:space="0" w:color="auto"/>
                      </w:divBdr>
                    </w:div>
                    <w:div w:id="692340162">
                      <w:marLeft w:val="360"/>
                      <w:marRight w:val="0"/>
                      <w:marTop w:val="0"/>
                      <w:marBottom w:val="0"/>
                      <w:divBdr>
                        <w:top w:val="none" w:sz="0" w:space="0" w:color="auto"/>
                        <w:left w:val="none" w:sz="0" w:space="0" w:color="auto"/>
                        <w:bottom w:val="none" w:sz="0" w:space="0" w:color="auto"/>
                        <w:right w:val="none" w:sz="0" w:space="0" w:color="auto"/>
                      </w:divBdr>
                    </w:div>
                    <w:div w:id="1049459024">
                      <w:marLeft w:val="360"/>
                      <w:marRight w:val="0"/>
                      <w:marTop w:val="0"/>
                      <w:marBottom w:val="0"/>
                      <w:divBdr>
                        <w:top w:val="none" w:sz="0" w:space="0" w:color="auto"/>
                        <w:left w:val="none" w:sz="0" w:space="0" w:color="auto"/>
                        <w:bottom w:val="none" w:sz="0" w:space="0" w:color="auto"/>
                        <w:right w:val="none" w:sz="0" w:space="0" w:color="auto"/>
                      </w:divBdr>
                    </w:div>
                  </w:divsChild>
                </w:div>
                <w:div w:id="805588915">
                  <w:marLeft w:val="360"/>
                  <w:marRight w:val="0"/>
                  <w:marTop w:val="0"/>
                  <w:marBottom w:val="0"/>
                  <w:divBdr>
                    <w:top w:val="none" w:sz="0" w:space="0" w:color="auto"/>
                    <w:left w:val="none" w:sz="0" w:space="0" w:color="auto"/>
                    <w:bottom w:val="none" w:sz="0" w:space="0" w:color="auto"/>
                    <w:right w:val="none" w:sz="0" w:space="0" w:color="auto"/>
                  </w:divBdr>
                </w:div>
                <w:div w:id="667754560">
                  <w:marLeft w:val="360"/>
                  <w:marRight w:val="0"/>
                  <w:marTop w:val="0"/>
                  <w:marBottom w:val="0"/>
                  <w:divBdr>
                    <w:top w:val="none" w:sz="0" w:space="0" w:color="auto"/>
                    <w:left w:val="none" w:sz="0" w:space="0" w:color="auto"/>
                    <w:bottom w:val="none" w:sz="0" w:space="0" w:color="auto"/>
                    <w:right w:val="none" w:sz="0" w:space="0" w:color="auto"/>
                  </w:divBdr>
                </w:div>
                <w:div w:id="999501534">
                  <w:marLeft w:val="360"/>
                  <w:marRight w:val="0"/>
                  <w:marTop w:val="0"/>
                  <w:marBottom w:val="0"/>
                  <w:divBdr>
                    <w:top w:val="none" w:sz="0" w:space="0" w:color="auto"/>
                    <w:left w:val="none" w:sz="0" w:space="0" w:color="auto"/>
                    <w:bottom w:val="none" w:sz="0" w:space="0" w:color="auto"/>
                    <w:right w:val="none" w:sz="0" w:space="0" w:color="auto"/>
                  </w:divBdr>
                </w:div>
                <w:div w:id="126092856">
                  <w:marLeft w:val="360"/>
                  <w:marRight w:val="0"/>
                  <w:marTop w:val="0"/>
                  <w:marBottom w:val="0"/>
                  <w:divBdr>
                    <w:top w:val="none" w:sz="0" w:space="0" w:color="auto"/>
                    <w:left w:val="none" w:sz="0" w:space="0" w:color="auto"/>
                    <w:bottom w:val="none" w:sz="0" w:space="0" w:color="auto"/>
                    <w:right w:val="none" w:sz="0" w:space="0" w:color="auto"/>
                  </w:divBdr>
                </w:div>
                <w:div w:id="673000628">
                  <w:marLeft w:val="360"/>
                  <w:marRight w:val="0"/>
                  <w:marTop w:val="0"/>
                  <w:marBottom w:val="0"/>
                  <w:divBdr>
                    <w:top w:val="none" w:sz="0" w:space="0" w:color="auto"/>
                    <w:left w:val="none" w:sz="0" w:space="0" w:color="auto"/>
                    <w:bottom w:val="none" w:sz="0" w:space="0" w:color="auto"/>
                    <w:right w:val="none" w:sz="0" w:space="0" w:color="auto"/>
                  </w:divBdr>
                </w:div>
                <w:div w:id="24283862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51740165">
          <w:marLeft w:val="0"/>
          <w:marRight w:val="0"/>
          <w:marTop w:val="0"/>
          <w:marBottom w:val="0"/>
          <w:divBdr>
            <w:top w:val="none" w:sz="0" w:space="0" w:color="auto"/>
            <w:left w:val="none" w:sz="0" w:space="0" w:color="auto"/>
            <w:bottom w:val="none" w:sz="0" w:space="0" w:color="auto"/>
            <w:right w:val="none" w:sz="0" w:space="0" w:color="auto"/>
          </w:divBdr>
        </w:div>
        <w:div w:id="1089159166">
          <w:marLeft w:val="0"/>
          <w:marRight w:val="0"/>
          <w:marTop w:val="0"/>
          <w:marBottom w:val="0"/>
          <w:divBdr>
            <w:top w:val="none" w:sz="0" w:space="0" w:color="auto"/>
            <w:left w:val="none" w:sz="0" w:space="0" w:color="auto"/>
            <w:bottom w:val="none" w:sz="0" w:space="0" w:color="auto"/>
            <w:right w:val="none" w:sz="0" w:space="0" w:color="auto"/>
          </w:divBdr>
        </w:div>
        <w:div w:id="2081245366">
          <w:marLeft w:val="0"/>
          <w:marRight w:val="0"/>
          <w:marTop w:val="0"/>
          <w:marBottom w:val="0"/>
          <w:divBdr>
            <w:top w:val="none" w:sz="0" w:space="0" w:color="auto"/>
            <w:left w:val="none" w:sz="0" w:space="0" w:color="auto"/>
            <w:bottom w:val="none" w:sz="0" w:space="0" w:color="auto"/>
            <w:right w:val="none" w:sz="0" w:space="0" w:color="auto"/>
          </w:divBdr>
        </w:div>
        <w:div w:id="2032341719">
          <w:marLeft w:val="0"/>
          <w:marRight w:val="0"/>
          <w:marTop w:val="0"/>
          <w:marBottom w:val="0"/>
          <w:divBdr>
            <w:top w:val="none" w:sz="0" w:space="0" w:color="auto"/>
            <w:left w:val="none" w:sz="0" w:space="0" w:color="auto"/>
            <w:bottom w:val="none" w:sz="0" w:space="0" w:color="auto"/>
            <w:right w:val="none" w:sz="0" w:space="0" w:color="auto"/>
          </w:divBdr>
        </w:div>
      </w:divsChild>
    </w:div>
    <w:div w:id="1264875410">
      <w:bodyDiv w:val="1"/>
      <w:marLeft w:val="0"/>
      <w:marRight w:val="0"/>
      <w:marTop w:val="0"/>
      <w:marBottom w:val="0"/>
      <w:divBdr>
        <w:top w:val="none" w:sz="0" w:space="0" w:color="auto"/>
        <w:left w:val="none" w:sz="0" w:space="0" w:color="auto"/>
        <w:bottom w:val="none" w:sz="0" w:space="0" w:color="auto"/>
        <w:right w:val="none" w:sz="0" w:space="0" w:color="auto"/>
      </w:divBdr>
    </w:div>
    <w:div w:id="1307510142">
      <w:bodyDiv w:val="1"/>
      <w:marLeft w:val="0"/>
      <w:marRight w:val="0"/>
      <w:marTop w:val="0"/>
      <w:marBottom w:val="0"/>
      <w:divBdr>
        <w:top w:val="none" w:sz="0" w:space="0" w:color="auto"/>
        <w:left w:val="none" w:sz="0" w:space="0" w:color="auto"/>
        <w:bottom w:val="none" w:sz="0" w:space="0" w:color="auto"/>
        <w:right w:val="none" w:sz="0" w:space="0" w:color="auto"/>
      </w:divBdr>
      <w:divsChild>
        <w:div w:id="1280331559">
          <w:marLeft w:val="1166"/>
          <w:marRight w:val="0"/>
          <w:marTop w:val="115"/>
          <w:marBottom w:val="0"/>
          <w:divBdr>
            <w:top w:val="none" w:sz="0" w:space="0" w:color="auto"/>
            <w:left w:val="none" w:sz="0" w:space="0" w:color="auto"/>
            <w:bottom w:val="none" w:sz="0" w:space="0" w:color="auto"/>
            <w:right w:val="none" w:sz="0" w:space="0" w:color="auto"/>
          </w:divBdr>
        </w:div>
        <w:div w:id="2079743308">
          <w:marLeft w:val="1800"/>
          <w:marRight w:val="0"/>
          <w:marTop w:val="115"/>
          <w:marBottom w:val="0"/>
          <w:divBdr>
            <w:top w:val="none" w:sz="0" w:space="0" w:color="auto"/>
            <w:left w:val="none" w:sz="0" w:space="0" w:color="auto"/>
            <w:bottom w:val="none" w:sz="0" w:space="0" w:color="auto"/>
            <w:right w:val="none" w:sz="0" w:space="0" w:color="auto"/>
          </w:divBdr>
        </w:div>
        <w:div w:id="1848670375">
          <w:marLeft w:val="1800"/>
          <w:marRight w:val="0"/>
          <w:marTop w:val="115"/>
          <w:marBottom w:val="0"/>
          <w:divBdr>
            <w:top w:val="none" w:sz="0" w:space="0" w:color="auto"/>
            <w:left w:val="none" w:sz="0" w:space="0" w:color="auto"/>
            <w:bottom w:val="none" w:sz="0" w:space="0" w:color="auto"/>
            <w:right w:val="none" w:sz="0" w:space="0" w:color="auto"/>
          </w:divBdr>
        </w:div>
        <w:div w:id="553588096">
          <w:marLeft w:val="1800"/>
          <w:marRight w:val="0"/>
          <w:marTop w:val="115"/>
          <w:marBottom w:val="0"/>
          <w:divBdr>
            <w:top w:val="none" w:sz="0" w:space="0" w:color="auto"/>
            <w:left w:val="none" w:sz="0" w:space="0" w:color="auto"/>
            <w:bottom w:val="none" w:sz="0" w:space="0" w:color="auto"/>
            <w:right w:val="none" w:sz="0" w:space="0" w:color="auto"/>
          </w:divBdr>
        </w:div>
      </w:divsChild>
    </w:div>
    <w:div w:id="1410073796">
      <w:bodyDiv w:val="1"/>
      <w:marLeft w:val="0"/>
      <w:marRight w:val="0"/>
      <w:marTop w:val="0"/>
      <w:marBottom w:val="0"/>
      <w:divBdr>
        <w:top w:val="none" w:sz="0" w:space="0" w:color="auto"/>
        <w:left w:val="none" w:sz="0" w:space="0" w:color="auto"/>
        <w:bottom w:val="none" w:sz="0" w:space="0" w:color="auto"/>
        <w:right w:val="none" w:sz="0" w:space="0" w:color="auto"/>
      </w:divBdr>
    </w:div>
    <w:div w:id="1513257449">
      <w:bodyDiv w:val="1"/>
      <w:marLeft w:val="0"/>
      <w:marRight w:val="0"/>
      <w:marTop w:val="0"/>
      <w:marBottom w:val="0"/>
      <w:divBdr>
        <w:top w:val="none" w:sz="0" w:space="0" w:color="auto"/>
        <w:left w:val="none" w:sz="0" w:space="0" w:color="auto"/>
        <w:bottom w:val="none" w:sz="0" w:space="0" w:color="auto"/>
        <w:right w:val="none" w:sz="0" w:space="0" w:color="auto"/>
      </w:divBdr>
    </w:div>
    <w:div w:id="1578397868">
      <w:bodyDiv w:val="1"/>
      <w:marLeft w:val="0"/>
      <w:marRight w:val="0"/>
      <w:marTop w:val="0"/>
      <w:marBottom w:val="0"/>
      <w:divBdr>
        <w:top w:val="none" w:sz="0" w:space="0" w:color="auto"/>
        <w:left w:val="none" w:sz="0" w:space="0" w:color="auto"/>
        <w:bottom w:val="none" w:sz="0" w:space="0" w:color="auto"/>
        <w:right w:val="none" w:sz="0" w:space="0" w:color="auto"/>
      </w:divBdr>
    </w:div>
    <w:div w:id="1651321306">
      <w:bodyDiv w:val="1"/>
      <w:marLeft w:val="0"/>
      <w:marRight w:val="0"/>
      <w:marTop w:val="0"/>
      <w:marBottom w:val="0"/>
      <w:divBdr>
        <w:top w:val="none" w:sz="0" w:space="0" w:color="auto"/>
        <w:left w:val="none" w:sz="0" w:space="0" w:color="auto"/>
        <w:bottom w:val="none" w:sz="0" w:space="0" w:color="auto"/>
        <w:right w:val="none" w:sz="0" w:space="0" w:color="auto"/>
      </w:divBdr>
    </w:div>
    <w:div w:id="1675184451">
      <w:bodyDiv w:val="1"/>
      <w:marLeft w:val="0"/>
      <w:marRight w:val="0"/>
      <w:marTop w:val="0"/>
      <w:marBottom w:val="0"/>
      <w:divBdr>
        <w:top w:val="none" w:sz="0" w:space="0" w:color="auto"/>
        <w:left w:val="none" w:sz="0" w:space="0" w:color="auto"/>
        <w:bottom w:val="none" w:sz="0" w:space="0" w:color="auto"/>
        <w:right w:val="none" w:sz="0" w:space="0" w:color="auto"/>
      </w:divBdr>
    </w:div>
    <w:div w:id="1726218511">
      <w:bodyDiv w:val="1"/>
      <w:marLeft w:val="0"/>
      <w:marRight w:val="0"/>
      <w:marTop w:val="0"/>
      <w:marBottom w:val="0"/>
      <w:divBdr>
        <w:top w:val="none" w:sz="0" w:space="0" w:color="auto"/>
        <w:left w:val="none" w:sz="0" w:space="0" w:color="auto"/>
        <w:bottom w:val="none" w:sz="0" w:space="0" w:color="auto"/>
        <w:right w:val="none" w:sz="0" w:space="0" w:color="auto"/>
      </w:divBdr>
    </w:div>
    <w:div w:id="1824271400">
      <w:bodyDiv w:val="1"/>
      <w:marLeft w:val="0"/>
      <w:marRight w:val="0"/>
      <w:marTop w:val="0"/>
      <w:marBottom w:val="0"/>
      <w:divBdr>
        <w:top w:val="none" w:sz="0" w:space="0" w:color="auto"/>
        <w:left w:val="none" w:sz="0" w:space="0" w:color="auto"/>
        <w:bottom w:val="none" w:sz="0" w:space="0" w:color="auto"/>
        <w:right w:val="none" w:sz="0" w:space="0" w:color="auto"/>
      </w:divBdr>
    </w:div>
    <w:div w:id="1835877613">
      <w:bodyDiv w:val="1"/>
      <w:marLeft w:val="0"/>
      <w:marRight w:val="0"/>
      <w:marTop w:val="0"/>
      <w:marBottom w:val="0"/>
      <w:divBdr>
        <w:top w:val="none" w:sz="0" w:space="0" w:color="auto"/>
        <w:left w:val="none" w:sz="0" w:space="0" w:color="auto"/>
        <w:bottom w:val="none" w:sz="0" w:space="0" w:color="auto"/>
        <w:right w:val="none" w:sz="0" w:space="0" w:color="auto"/>
      </w:divBdr>
    </w:div>
    <w:div w:id="209462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bpmcm.caiso.com/Pages/BPMLibrary.aspx"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cid:image001.png@01DBEB3F.D116A1F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www.caiso.com/Documents/How-to-Submit-Documentation-for-Applications-and-Ongoing-Oblig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cid:image003.png@01DBEB40.818B5CB0" TargetMode="External"/><Relationship Id="rId30" Type="http://schemas.openxmlformats.org/officeDocument/2006/relationships/hyperlink" Target="http://www.caiso.com/Documents/How-to-Submit-Documentation-for-Applications-and-Ongoing-Obligations.pdf" TargetMode="External"/><Relationship Id="rId35" Type="http://schemas.openxmlformats.org/officeDocument/2006/relationships/customXml" Target="../customXml/item5.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Extended Day-Ahead Market</BPM_x0020_Na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641CF946-60AD-4452-86C8-58EC4F4D37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FCE4A-725A-44E5-B3CB-CBE0FF09E3F9}"/>
</file>

<file path=customXml/itemProps3.xml><?xml version="1.0" encoding="utf-8"?>
<ds:datastoreItem xmlns:ds="http://schemas.openxmlformats.org/officeDocument/2006/customXml" ds:itemID="{44208307-9354-4094-BA6C-E8746B7F1502}">
  <ds:schemaRefs>
    <ds:schemaRef ds:uri="http://schemas.microsoft.com/sharepoint/v3/contenttype/forms"/>
  </ds:schemaRefs>
</ds:datastoreItem>
</file>

<file path=customXml/itemProps4.xml><?xml version="1.0" encoding="utf-8"?>
<ds:datastoreItem xmlns:ds="http://schemas.openxmlformats.org/officeDocument/2006/customXml" ds:itemID="{AC722DA9-7991-4980-B5AC-FDAFCDAA6F25}">
  <ds:schemaRefs>
    <ds:schemaRef ds:uri="http://schemas.openxmlformats.org/officeDocument/2006/bibliography"/>
  </ds:schemaRefs>
</ds:datastoreItem>
</file>

<file path=customXml/itemProps5.xml><?xml version="1.0" encoding="utf-8"?>
<ds:datastoreItem xmlns:ds="http://schemas.openxmlformats.org/officeDocument/2006/customXml" ds:itemID="{B0F6F902-44D4-43E6-894D-DBAE5924DDD3}"/>
</file>

<file path=docProps/app.xml><?xml version="1.0" encoding="utf-8"?>
<Properties xmlns="http://schemas.openxmlformats.org/officeDocument/2006/extended-properties" xmlns:vt="http://schemas.openxmlformats.org/officeDocument/2006/docPropsVTypes">
  <Template>Normal</Template>
  <TotalTime>0</TotalTime>
  <Pages>155</Pages>
  <Words>49435</Words>
  <Characters>281784</Characters>
  <Application>Microsoft Office Word</Application>
  <DocSecurity>0</DocSecurity>
  <Lines>2348</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creator/>
  <cp:keywords/>
  <dc:description/>
  <cp:lastModifiedBy/>
  <cp:revision>1</cp:revision>
  <dcterms:created xsi:type="dcterms:W3CDTF">2026-05-06T19:02:00Z</dcterms:created>
  <dcterms:modified xsi:type="dcterms:W3CDTF">2026-05-06T20:04:00Z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0x010100F4DE1AACB87EAA4BB22C173C8FC48D4D</vt:lpwstr>
  </property>
</Properties>
</file>